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spacing w:after="120" w:before="80"/>
        <w:rPr>
          <w:lang/>
          <w:rFonts w:ascii="NanumMyeongjo" w:eastAsia="NanumMyeongjo" w:hAnsi="NanumMyeongjo"/>
          <w:b/>
          <w:sz w:val="36"/>
          <w:rtl w:val="off"/>
        </w:rPr>
      </w:pPr>
      <w:r>
        <w:rPr>
          <w:lang w:eastAsia="ko-KR"/>
          <w:rFonts w:ascii="NanumMyeongjo" w:eastAsia="NanumMyeongjo" w:hAnsi="NanumMyeongjo"/>
          <w:b/>
          <w:sz w:val="36"/>
          <w:rtl w:val="off"/>
        </w:rPr>
        <w:t>창조에서 열방으로</w:t>
      </w:r>
    </w:p>
    <w:p>
      <w:pPr>
        <w:jc w:val="center"/>
        <w:spacing w:after="120" w:before="80"/>
      </w:pPr>
      <w:r>
        <w:rPr>
          <w:lang w:eastAsia="ko-KR"/>
          <w:rFonts w:ascii="NanumMyeongjo" w:eastAsia="NanumMyeongjo" w:hAnsi="NanumMyeongjo"/>
          <w:b/>
          <w:sz w:val="28"/>
          <w:szCs w:val="28"/>
          <w:rtl w:val="off"/>
        </w:rPr>
        <w:t>-</w:t>
      </w:r>
      <w:r>
        <w:rPr>
          <w:rFonts w:ascii="NanumMyeongjo" w:eastAsia="NanumMyeongjo" w:hAnsi="NanumMyeongjo"/>
          <w:b/>
          <w:sz w:val="28"/>
          <w:szCs w:val="28"/>
        </w:rPr>
        <w:t>말 없는 언어와 창조의 질서</w:t>
      </w:r>
      <w:r>
        <w:rPr>
          <w:lang w:eastAsia="ko-KR"/>
          <w:rFonts w:ascii="NanumMyeongjo" w:eastAsia="NanumMyeongjo" w:hAnsi="NanumMyeongjo"/>
          <w:b/>
          <w:sz w:val="28"/>
          <w:szCs w:val="28"/>
          <w:rtl w:val="off"/>
        </w:rPr>
        <w:t>-</w:t>
      </w:r>
    </w:p>
    <w:p>
      <w:pPr>
        <w:jc w:val="center"/>
        <w:spacing w:after="240"/>
      </w:pPr>
      <w:r>
        <w:rPr>
          <w:rFonts w:ascii="NanumMyeongjo" w:eastAsia="NanumMyeongjo" w:hAnsi="NanumMyeongjo"/>
          <w:b/>
          <w:sz w:val="23"/>
        </w:rPr>
        <w:t>동물의 정보전달, 아름다움의 수학, 고대 서사와 성경의 역사성에 관한 창조신학적 고찰</w:t>
      </w:r>
    </w:p>
    <w:p>
      <w:pPr>
        <w:keepNext/>
        <w:jc w:val="left"/>
        <w:spacing w:after="80" w:before="180"/>
      </w:pPr>
      <w:r>
        <w:rPr>
          <w:rFonts w:ascii="NanumMyeongjo" w:eastAsia="NanumMyeongjo" w:hAnsi="NanumMyeongjo"/>
          <w:b/>
          <w:sz w:val="28"/>
        </w:rPr>
        <w:t>초록</w:t>
      </w:r>
    </w:p>
    <w:p>
      <w:pPr>
        <w:jc w:val="both"/>
        <w:spacing w:after="100" w:before="0" w:line="341" w:lineRule="auto"/>
      </w:pPr>
      <w:r>
        <w:rPr>
          <w:rFonts w:ascii="NanumMyeongjo" w:eastAsia="NanumMyeongjo" w:hAnsi="NanumMyeongjo"/>
          <w:sz w:val="20"/>
        </w:rPr>
        <w:t>본 논문은 자연과 생명, 고대 문헌을 하나의 “정보와 질서”라는 관점에서 살펴보고, 이를 성경적 창조신학과 연결하여 고찰한다. 첫째, 꿀벌의 와글댄스, 농게의 집게발 신호, 공작거미의 다중양식 구애행동을 검토하여 생명체가 방향·거리·속도·색·진동과 같은 패턴을 이용해 정보를 전달한다는 사실을 정리한다. 둘째, 미적 대상에 대한 인간 뇌의 반응, 식물의 엽서와 피보나치 계열, 얼음의 육각 대칭, 유전암호와 아미노산의 수적 규칙성을 검토한다. 이 과정에서 숫자 7과 37에 관한 관찰은 재현 가능한 수학적 사실과 상징적·신학적 해석을 구별한다. 셋째, 『오디세이아』와 모세오경을 비교하여 고대 서사에 나타나는 홍수·거인·바다의 위협·유혹·귀향 등의 유사성을 공통 기억, 문화 전파, 보편적 인간 경험이라는 세 가능성으로 설명한다. 동시에 성경의 역사성은 신화와의 유사성 자체가 아니라 본문 구조, 족보와 지명, 사본 전승, 고고학과 외부 문헌의 교차검증을 통해 별도로 논의되어야 함을 강조한다. 결론적으로 본 논문은 자연과 생명의 질서가 창조주를 실험적으로 “증명”한다고 단정하지 않으면서도, 창조신앙의 관점에서 이러한 정보·질서·역사의 구조가 창조주의 지혜를 성찰하게 하는 합리적인 신학적 근거가 될 수 있음을 제안한다.</w:t>
      </w:r>
    </w:p>
    <w:p>
      <w:pPr>
        <w:spacing w:after="140"/>
      </w:pPr>
      <w:r>
        <w:rPr>
          <w:rFonts w:ascii="NanumMyeongjo" w:eastAsia="NanumMyeongjo" w:hAnsi="NanumMyeongjo"/>
          <w:b/>
          <w:sz w:val="18"/>
        </w:rPr>
        <w:t>주제어: 동물 의사소통, 정보, 아름다움, 수학적 질서, 유전암호, 오디세이아, 성경의 역사성, 창조신학, 피지컬 AI</w:t>
      </w:r>
    </w:p>
    <w:p>
      <w:pPr>
        <w:keepNext/>
        <w:jc w:val="left"/>
        <w:spacing w:after="80" w:before="180"/>
      </w:pPr>
      <w:r>
        <w:rPr>
          <w:rFonts w:ascii="NanumMyeongjo" w:eastAsia="NanumMyeongjo" w:hAnsi="NanumMyeongjo"/>
          <w:b/>
          <w:sz w:val="28"/>
        </w:rPr>
        <w:t>Ⅰ. 서론 — 춤 하나가 세계의 언어가 되다</w:t>
      </w:r>
    </w:p>
    <w:p>
      <w:pPr>
        <w:ind w:firstLine="397"/>
        <w:jc w:val="both"/>
        <w:spacing w:after="60" w:before="0" w:line="341" w:lineRule="auto"/>
      </w:pPr>
      <w:r>
        <w:rPr>
          <w:rFonts w:ascii="NanumMyeongjo" w:eastAsia="NanumMyeongjo" w:hAnsi="NanumMyeongjo"/>
          <w:sz w:val="20"/>
        </w:rPr>
        <w:t>오늘날 K-pop의 세계적 확산은 언어가 달라도 리듬과 몸짓이 메시지를 전달할 수 있음을 보여준다. 한국어를 완전히 이해하지 못하는 사람도 노래의 리듬과 안무를 따라 하며 감정과 의미를 공유한다. 이 현상은 의사소통이 음성언어나 문자에만 국한되지 않음을 직관적으로 보여준다. 동물행동학에서도 색채, 소리, 냄새, 진동, 몸짓은 다른 개체의 행동을 변화시키는 신호로 연구되어 왔다(Maynard Smith &amp; Harper, 2003).</w:t>
      </w:r>
    </w:p>
    <w:p>
      <w:pPr>
        <w:ind w:left="454" w:right="283"/>
        <w:jc w:val="both"/>
        <w:spacing w:after="80" w:before="60" w:line="324" w:lineRule="auto"/>
      </w:pPr>
      <w:r>
        <w:rPr>
          <w:rFonts w:ascii="NanumMyeongjo" w:eastAsia="NanumMyeongjo" w:hAnsi="NanumMyeongjo"/>
          <w:i/>
          <w:sz w:val="19"/>
        </w:rPr>
        <w:t>“춤은 움직임이지만, 의미를 가진 규칙적인 움직임은 정보가 된다.”</w:t>
      </w:r>
    </w:p>
    <w:p>
      <w:pPr>
        <w:ind w:firstLine="397"/>
        <w:jc w:val="both"/>
        <w:spacing w:after="60" w:before="0" w:line="341" w:lineRule="auto"/>
      </w:pPr>
      <w:r>
        <w:rPr>
          <w:rFonts w:ascii="NanumMyeongjo" w:eastAsia="NanumMyeongjo" w:hAnsi="NanumMyeongjo"/>
          <w:sz w:val="20"/>
        </w:rPr>
        <w:t>이러한 질문은 자연세계로 확장될 수 있다. 꿀벌은 춤으로 먹이의 위치를 전달하고, 농게는 집게발의 움직임으로 구애와 경쟁의 신호를 보내며, 공작거미는 색과 동작, 진동을 동시에 사용한다. 중요한 것은 개별적인 동작만이 아니라 송신자, 신호, 전달 채널, 수신자의 감각기관, 신호 처리와 행동반응이 하나의 체계로 연결되어 있다는 점이다.</w:t>
      </w:r>
    </w:p>
    <w:p>
      <w:pPr>
        <w:ind w:firstLine="397"/>
        <w:jc w:val="both"/>
        <w:spacing w:after="60" w:before="0" w:line="341" w:lineRule="auto"/>
      </w:pPr>
      <w:r>
        <w:rPr>
          <w:rFonts w:ascii="NanumMyeongjo" w:eastAsia="NanumMyeongjo" w:hAnsi="NanumMyeongjo"/>
          <w:sz w:val="20"/>
        </w:rPr>
        <w:t>최근 인공지능 연구에서도 지능을 디지털 추론에만 두지 않고 실제 환경에서 감지하고 행동하며 적응하는 “피지컬 AI(physical AI)”와 체화지능의 문제가 강조되고 있다. Nature Machine Intelligence는 2026년 사설에서 지능이 물리세계에서 작동하려면 감각, 신체의 형태, 재료, 제어와 환경 사이의 결합을 함께 고려해야 한다고 정리하였다(Nature Machine Intelligence, 2026). 인간이 만든 로봇의 목적 있는 동작에는 하드웨어, 센서, 알고리즘, 데이터와 제어체계가 필요하다. 이러한 사실은 생명체의 훨씬 복합적인 감각·신경·행동·정보전달 체계를 어떻게 이해할 것인가라는 철학적 질문을 제기한다.</w:t>
      </w:r>
    </w:p>
    <w:p>
      <w:pPr>
        <w:ind w:firstLine="397"/>
        <w:jc w:val="both"/>
        <w:spacing w:after="60" w:before="0" w:line="341" w:lineRule="auto"/>
      </w:pPr>
      <w:r>
        <w:rPr>
          <w:rFonts w:ascii="NanumMyeongjo" w:eastAsia="NanumMyeongjo" w:hAnsi="NanumMyeongjo"/>
          <w:sz w:val="20"/>
        </w:rPr>
        <w:t>본 논문은 이를 세 단계로 구분한다. 첫째는 관찰과 실험으로 확인되는 생물학적 사실이다. 둘째는 그 사실을 정보와 질서의 관점에서 해석하는 과학철학적 단계이다. 셋째는 그 질서를 창조주의 지혜와 연결하는 성경적·신학적 해석이다. 이러한 구분을 유지함으로써 과학적 자료를 과장하지 않으면서도 창조신앙이 제기하는 의미의 질문을 분명히 하고자 한다.</w:t>
      </w:r>
    </w:p>
    <w:p>
      <w:pPr>
        <w:keepNext/>
        <w:jc w:val="left"/>
        <w:spacing w:after="80" w:before="180"/>
      </w:pPr>
      <w:r>
        <w:rPr>
          <w:rFonts w:ascii="NanumMyeongjo" w:eastAsia="NanumMyeongjo" w:hAnsi="NanumMyeongjo"/>
          <w:b/>
          <w:sz w:val="28"/>
        </w:rPr>
        <w:t>Ⅱ. 본론 1 — 말 없는 언어: 동물의 춤과 생명 정보 시스템</w:t>
      </w:r>
    </w:p>
    <w:p>
      <w:pPr>
        <w:keepNext/>
        <w:spacing w:after="60" w:before="120"/>
      </w:pPr>
      <w:r>
        <w:rPr>
          <w:rFonts w:ascii="NanumMyeongjo" w:eastAsia="NanumMyeongjo" w:hAnsi="NanumMyeongjo"/>
          <w:b/>
          <w:sz w:val="22"/>
        </w:rPr>
        <w:t>1. 꿀벌: 춤으로 좌표를 전달하다</w:t>
      </w:r>
    </w:p>
    <w:p>
      <w:pPr>
        <w:ind w:firstLine="397"/>
        <w:jc w:val="both"/>
        <w:spacing w:after="60" w:before="0" w:line="341" w:lineRule="auto"/>
      </w:pPr>
      <w:r>
        <w:rPr>
          <w:rFonts w:ascii="NanumMyeongjo" w:eastAsia="NanumMyeongjo" w:hAnsi="NanumMyeongjo"/>
          <w:sz w:val="20"/>
        </w:rPr>
        <w:t>서양꿀벌(Apis mellifera)의 와글댄스는 동물 의사소통의 대표적인 사례이다. 먹이원을 발견한 일벌은 벌집으로 돌아와 8자와 유사한 궤적을 반복하며 몸을 흔든다. 와글 구간의 방향은 태양을 기준으로 한 먹이원의 방향과 연결되고, 그 지속시간은 대체로 먹이원까지의 거리와 관련된다. Karl von Frisch의 연구는 이러한 행동이 단순한 흥분이 아니라 공간정보의 전달이라는 점을 밝히는 데 결정적이었으며, 그는 Lorenz와 Tinbergen과 함께 1973년 노벨 생리의학상을 받았다(von Frisch, 1967; Nobel Prize, 1973).</w:t>
      </w:r>
    </w:p>
    <w:p>
      <w:pPr>
        <w:ind w:firstLine="397"/>
        <w:jc w:val="both"/>
        <w:spacing w:after="60" w:before="0" w:line="341" w:lineRule="auto"/>
      </w:pPr>
      <w:r>
        <w:rPr>
          <w:rFonts w:ascii="NanumMyeongjo" w:eastAsia="NanumMyeongjo" w:hAnsi="NanumMyeongjo"/>
          <w:sz w:val="20"/>
        </w:rPr>
        <w:t>춤 자체의 각도와 지속시간이 핵심 부호이며, 꽃의 냄새나 먹이의 질에 따른 춤의 활발함은 탐색을 보조하는 추가 단서가 될 수 있다. 따라서 와글댄스는 “먹이 발견 → 공간정보 획득 → 움직임으로 부호화 → 동료의 감지 → 방향·거리 이용 → 실제 비행”이라는 정보전달 구조로 정리할 수 있다. 놀라운 점은 신호를 만드는 체계와 신호를 감지하고 행동으로 변환하는 체계가 함께 존재한다는 데 있다.</w:t>
      </w:r>
    </w:p>
    <w:p>
      <w:pPr>
        <w:keepNext/>
        <w:spacing w:after="60" w:before="120"/>
      </w:pPr>
      <w:r>
        <w:rPr>
          <w:rFonts w:ascii="NanumMyeongjo" w:eastAsia="NanumMyeongjo" w:hAnsi="NanumMyeongjo"/>
          <w:b/>
          <w:sz w:val="22"/>
        </w:rPr>
        <w:t>2. 농게: 크기보다 중요한 것은 움직임의 패턴이다</w:t>
      </w:r>
    </w:p>
    <w:p>
      <w:pPr>
        <w:ind w:firstLine="397"/>
        <w:jc w:val="both"/>
        <w:spacing w:after="60" w:before="0" w:line="341" w:lineRule="auto"/>
      </w:pPr>
      <w:r>
        <w:rPr>
          <w:rFonts w:ascii="NanumMyeongjo" w:eastAsia="NanumMyeongjo" w:hAnsi="NanumMyeongjo"/>
          <w:sz w:val="20"/>
        </w:rPr>
        <w:t>수컷 농게는 한쪽에 크게 발달한 집게발을 흔들어 암컷에게 구애하거나 경쟁 수컷에게 신호를 보낸다. 이때 중요한 것은 단순히 집게발이 크다는 사실이 아니라 움직임의 반복, 속도와 시간적 변화이다. Mowles, Jennions와 Backwell(2018)은 로봇 농게를 이용하여 평균 파동속도가 같더라도 신호속도가 점차 증가하는 패턴에 암컷이 더 선호적으로 반응할 수 있음을 보였다. 이는 수신자가 “움직임이 있다/없다”만을 구별하는 것이 아니라 시간적 패턴의 차이를 정보로 이용한다는 의미이다.</w:t>
      </w:r>
    </w:p>
    <w:p>
      <w:pPr>
        <w:ind w:left="454" w:right="283"/>
        <w:jc w:val="both"/>
        <w:spacing w:after="80" w:before="60" w:line="324" w:lineRule="auto"/>
      </w:pPr>
      <w:r>
        <w:rPr>
          <w:rFonts w:ascii="NanumMyeongjo" w:eastAsia="NanumMyeongjo" w:hAnsi="NanumMyeongjo"/>
          <w:i/>
          <w:sz w:val="19"/>
        </w:rPr>
        <w:t>교육적 비유로 표현하면 “몸은 하드웨어이고, 춤의 패턴은 소프트웨어와 같다.” 다만 살아 있는 생명체와 컴퓨터 프로그램을 동일시하는 것이 아니라 정보체계의 구조를 설명하기 위한 유비로 이해해야 한다.</w:t>
      </w:r>
    </w:p>
    <w:p>
      <w:pPr>
        <w:keepNext/>
        <w:spacing w:after="60" w:before="120"/>
      </w:pPr>
      <w:r>
        <w:rPr>
          <w:rFonts w:ascii="NanumMyeongjo" w:eastAsia="NanumMyeongjo" w:hAnsi="NanumMyeongjo"/>
          <w:b/>
          <w:sz w:val="22"/>
        </w:rPr>
        <w:t>3. 공작거미: 여러 채널을 동시에 사용하는 신호</w:t>
      </w:r>
    </w:p>
    <w:p>
      <w:pPr>
        <w:ind w:firstLine="397"/>
        <w:jc w:val="both"/>
        <w:spacing w:after="60" w:before="0" w:line="341" w:lineRule="auto"/>
      </w:pPr>
      <w:r>
        <w:rPr>
          <w:rFonts w:ascii="NanumMyeongjo" w:eastAsia="NanumMyeongjo" w:hAnsi="NanumMyeongjo"/>
          <w:sz w:val="20"/>
        </w:rPr>
        <w:t>호주의 공작거미(Maratus)는 수컷이 화려한 복부를 펼치고 다리를 흔들며 정교한 구애행동을 수행하는 것으로 알려져 있다. Girard, Kasumovic와 Elias(2011)는 고속영상과 진동 측정을 통해 시각적 동작뿐 아니라 기질을 통해 전달되는 진동신호가 함께 사용됨을 보였다. 후속 연구에서도 시각과 진동의 결합이 교미 성공과 관련될 수 있음이 보고되었다(Girard, Elias, &amp; Kasumovic, 2015). 즉 공작거미의 구애는 색(color), 형태(shape), 움직임(motion), 진동(vibration)이 결합된 다중양식 신호이다.</w:t>
      </w:r>
    </w:p>
    <w:p>
      <w:pPr>
        <w:ind w:firstLine="397"/>
        <w:jc w:val="both"/>
        <w:spacing w:after="60" w:before="0" w:line="341" w:lineRule="auto"/>
      </w:pPr>
      <w:r>
        <w:rPr>
          <w:rFonts w:ascii="NanumMyeongjo" w:eastAsia="NanumMyeongjo" w:hAnsi="NanumMyeongjo"/>
          <w:sz w:val="20"/>
        </w:rPr>
        <w:t>꿀벌, 농게, 공작거미는 서로 다른 분류군이지만 공통된 정보구조를 보여준다. 환경 또는 개체의 상태가 특정 행동패턴으로 표현되고, 그 패턴이 감각 채널을 거쳐 다른 개체에게 전달되며, 수신자의 행동을 변화시킨다. 이것은 생명체의 몸짓을 단순한 물리적 운동이 아니라 관계 속에서 기능하는 신호체계로 보게 한다.</w:t>
      </w:r>
    </w:p>
    <w:p>
      <w:pPr>
        <w:keepNext/>
        <w:spacing w:after="60" w:before="120"/>
      </w:pPr>
      <w:r>
        <w:rPr>
          <w:rFonts w:ascii="NanumMyeongjo" w:eastAsia="NanumMyeongjo" w:hAnsi="NanumMyeongjo"/>
          <w:b/>
          <w:sz w:val="22"/>
        </w:rPr>
        <w:t>4. 피지컬 AI와 생명 정보 체계의 유비</w:t>
      </w:r>
    </w:p>
    <w:p>
      <w:pPr>
        <w:ind w:firstLine="397"/>
        <w:jc w:val="both"/>
        <w:spacing w:after="60" w:before="0" w:line="341" w:lineRule="auto"/>
      </w:pPr>
      <w:r>
        <w:rPr>
          <w:rFonts w:ascii="NanumMyeongjo" w:eastAsia="NanumMyeongjo" w:hAnsi="NanumMyeongjo"/>
          <w:sz w:val="20"/>
        </w:rPr>
        <w:t>피지컬 AI가 실제 세계에서 움직이려면 기계적 몸체, 센서, 제어 프로그램, 학습자료, 환경인식과 피드백이 함께 작동해야 한다. 로봇이 음악에 맞추어 춤을 출 때 우리는 그 행동을 부품의 우연한 충돌로 설명하지 않고 설계와 프로그램의 결과로 이해한다. 생명체는 로봇보다 훨씬 다양한 자기유지, 발달, 번식과 적응의 특성을 지니므로 두 체계를 동일시할 수는 없다. 그러나 인공 시스템의 목적 있는 행동이 설계와 정보구조를 요구한다는 경험은 생명정보의 기원에 대한 철학적 질문을 자연스럽게 제기한다.</w:t>
      </w:r>
    </w:p>
    <w:p>
      <w:pPr>
        <w:ind w:firstLine="397"/>
        <w:jc w:val="both"/>
        <w:spacing w:after="60" w:before="0" w:line="341" w:lineRule="auto"/>
      </w:pPr>
      <w:r>
        <w:rPr>
          <w:rFonts w:ascii="NanumMyeongjo" w:eastAsia="NanumMyeongjo" w:hAnsi="NanumMyeongjo"/>
          <w:sz w:val="20"/>
        </w:rPr>
        <w:t>시편 19편 1–4절은 “언어도 없고 말씀도 없으며 들리는 소리도 없으나” 창조세계가 하나님의 영광을 선포한다고 노래한다. 이를 현대 과학의 명제로 환원해서는 안 되지만, “말 없는 선포”라는 시적 표현은 자연이 인간의 언어를 사용하지 않더라도 질서와 패턴을 통해 무엇인가를 드러낸다는 창조신학적 관점을 제공한다(Loader, 2011).</w:t>
      </w:r>
    </w:p>
    <w:p>
      <w:pPr>
        <w:keepNext/>
        <w:jc w:val="left"/>
        <w:spacing w:after="80" w:before="180"/>
      </w:pPr>
      <w:r>
        <w:rPr>
          <w:rFonts w:ascii="NanumMyeongjo" w:eastAsia="NanumMyeongjo" w:hAnsi="NanumMyeongjo"/>
          <w:b/>
          <w:sz w:val="28"/>
        </w:rPr>
        <w:t>Ⅲ. 본론 2 — 왜 아름다움인가: 질서, 수학적 패턴과 생명</w:t>
      </w:r>
    </w:p>
    <w:p>
      <w:pPr>
        <w:keepNext/>
        <w:spacing w:after="60" w:before="120"/>
      </w:pPr>
      <w:r>
        <w:rPr>
          <w:rFonts w:ascii="NanumMyeongjo" w:eastAsia="NanumMyeongjo" w:hAnsi="NanumMyeongjo"/>
          <w:b/>
          <w:sz w:val="22"/>
        </w:rPr>
        <w:t>1. 아름다움과 뇌의 가치평가</w:t>
      </w:r>
    </w:p>
    <w:p>
      <w:pPr>
        <w:ind w:firstLine="397"/>
        <w:jc w:val="both"/>
        <w:spacing w:after="60" w:before="0" w:line="341" w:lineRule="auto"/>
      </w:pPr>
      <w:r>
        <w:rPr>
          <w:rFonts w:ascii="NanumMyeongjo" w:eastAsia="NanumMyeongjo" w:hAnsi="NanumMyeongjo"/>
          <w:sz w:val="20"/>
        </w:rPr>
        <w:t>“잘생긴 사람이나 예쁜 사람을 보면 건강해진다”는 표현은 강의의 흥미로운 질문이 될 수 있지만 의학적 사실로 단정할 수는 없다. 비교적 분명한 사실은 인간의 뇌가 아름다움을 무관심하게 처리하지 않는다는 점이다. Hu 등(2020)이 49개의 fMRI 연구와 982명의 참가자를 분석한 메타분석에서는 아름다운 얼굴이 복측선조체, 시각예술의 아름다움이 전방 내측 전전두피질과 수렴적으로 관련되는 것으로 나타났다. 아름다움의 종류에 관계없이 작동하는 하나의 “미의 중추”가 확정된 것은 아니지만, 미적 평가는 보상과 가치판단에 관련된 신경체계와 밀접하게 연결되어 있다.</w:t>
      </w:r>
    </w:p>
    <w:p>
      <w:pPr>
        <w:ind w:firstLine="397"/>
        <w:jc w:val="both"/>
        <w:spacing w:after="60" w:before="0" w:line="341" w:lineRule="auto"/>
      </w:pPr>
      <w:r>
        <w:rPr>
          <w:rFonts w:ascii="NanumMyeongjo" w:eastAsia="NanumMyeongjo" w:hAnsi="NanumMyeongjo"/>
          <w:sz w:val="20"/>
        </w:rPr>
        <w:t>도파민 역시 보상, 동기, 접근행동과 학습에 중요한 역할을 하지만 이를 단순한 “행복 호르몬”으로 부르는 것은 정확하지 않다(Berridge &amp; Robinson, 1998; Berke, 2018). 따라서 “아름다움은 사람을 무조건 건강하게 한다”보다 “아름다움은 인간의 가치평가와 보상 관련 신경회로를 움직인다”고 표현하는 것이 과학적으로 적절하다.</w:t>
      </w:r>
    </w:p>
    <w:p>
      <w:pPr>
        <w:keepNext/>
        <w:spacing w:after="60" w:before="120"/>
      </w:pPr>
      <w:r>
        <w:rPr>
          <w:rFonts w:ascii="NanumMyeongjo" w:eastAsia="NanumMyeongjo" w:hAnsi="NanumMyeongjo"/>
          <w:b/>
          <w:sz w:val="22"/>
        </w:rPr>
        <w:t>2. 자연의 아름다움과 반복 가능한 질서</w:t>
      </w:r>
    </w:p>
    <w:p>
      <w:pPr>
        <w:ind w:firstLine="397"/>
        <w:jc w:val="both"/>
        <w:spacing w:after="60" w:before="0" w:line="341" w:lineRule="auto"/>
      </w:pPr>
      <w:r>
        <w:rPr>
          <w:rFonts w:ascii="NanumMyeongjo" w:eastAsia="NanumMyeongjo" w:hAnsi="NanumMyeongjo"/>
          <w:sz w:val="20"/>
        </w:rPr>
        <w:t>아름다움은 문화와 개인에 따라 달라지므로 하나의 수학 공식으로 정의할 수 없다. 그럼에도 대칭, 비례, 반복, 균형과 리듬 같은 구조적 특징이 미적 경험과 연결된다는 사실은 널리 관찰된다. 자연에서는 식물의 엽서(phyllotaxis)가 대표적인 예이다. 해바라기, 솔방울, 여러 식물의 잎과 꽃 기관 배열에서는 피보나치 계열과 관련된 나선 패턴이 나타날 수 있다(Klar, 2002). 그러나 모든 식물이 피보나치 구조를 따르는 것은 아니며, 이를 “자연 전체의 단일한 황금비 법칙”으로 일반화해서는 안 된다. 핵심은 생물의 형태가 임의의 점들의 집합이 아니라 생장과 물리·생화학적 상호작용을 통해 반복 가능한 질서를 형성한다는 것이다.</w:t>
      </w:r>
    </w:p>
    <w:p>
      <w:pPr>
        <w:keepNext/>
        <w:spacing w:after="60" w:before="120"/>
      </w:pPr>
      <w:r>
        <w:rPr>
          <w:rFonts w:ascii="NanumMyeongjo" w:eastAsia="NanumMyeongjo" w:hAnsi="NanumMyeongjo"/>
          <w:b/>
          <w:sz w:val="22"/>
        </w:rPr>
        <w:t>3. 숫자 7과 37: 관찰과 상징의 경계</w:t>
      </w:r>
    </w:p>
    <w:p>
      <w:pPr>
        <w:ind w:firstLine="397"/>
        <w:jc w:val="both"/>
        <w:spacing w:after="60" w:before="0" w:line="341" w:lineRule="auto"/>
      </w:pPr>
      <w:r>
        <w:rPr>
          <w:rFonts w:ascii="NanumMyeongjo" w:eastAsia="NanumMyeongjo" w:hAnsi="NanumMyeongjo"/>
          <w:sz w:val="20"/>
        </w:rPr>
        <w:t>성경에서 숫자 7은 창조의 일곱 날과 안식일을 비롯하여 분명한 문학적·신학적 기능을 한다. 그러나 동물의 임신기간이나 모든 생명현상이 과학적으로 7의 배수라는 보편법칙은 성립하지 않는다. 사람의 정상체온 또한 정확히 37℃라는 하나의 값으로 고정되지 않으며 연령, 측정부위와 시간 등에 따라 변한다. 따라서 7이나 37을 자연과학적 의미의 “생명의 수”로 규정하는 것은 신중해야 한다.</w:t>
      </w:r>
    </w:p>
    <w:p>
      <w:pPr>
        <w:ind w:firstLine="397"/>
        <w:jc w:val="both"/>
        <w:spacing w:after="60" w:before="0" w:line="341" w:lineRule="auto"/>
      </w:pPr>
      <w:r>
        <w:rPr>
          <w:rFonts w:ascii="NanumMyeongjo" w:eastAsia="NanumMyeongjo" w:hAnsi="NanumMyeongjo"/>
          <w:sz w:val="20"/>
        </w:rPr>
        <w:t>다만 37은 수학적으로 흥미로운 위치를 갖는다. 중심육각수는 3n²−3n+1로 1, 7, 19, 37, 61…을 만들고, 별수(star number)는 6n²−6n+1로 1, 13, 37, 73, 121…을 만든다. 얼음의 가장 흔한 형태인 Ice Ih가 육각 결정격자를 갖기 때문에 눈 결정에서 6중 대칭이 나타나는 것도 실제 물리적 사실이다. 그러나 “37개의 물 분자가 눈송이를 만든다”는 뜻은 아니다. 수학적 도형의 37점 구조와 실제 얼음결정의 분자 수는 서로 다른 층위의 설명이다.</w:t>
      </w:r>
    </w:p>
    <w:p>
      <w:pPr>
        <w:keepNext/>
        <w:spacing w:after="60" w:before="120"/>
      </w:pPr>
      <w:r>
        <w:rPr>
          <w:rFonts w:ascii="NanumMyeongjo" w:eastAsia="NanumMyeongjo" w:hAnsi="NanumMyeongjo"/>
          <w:b/>
          <w:sz w:val="22"/>
        </w:rPr>
        <w:t>4. 유전암호와 아미노산의 수적 규칙성</w:t>
      </w:r>
    </w:p>
    <w:p>
      <w:pPr>
        <w:ind w:firstLine="397"/>
        <w:jc w:val="both"/>
        <w:spacing w:after="60" w:before="0" w:line="341" w:lineRule="auto"/>
      </w:pPr>
      <w:r>
        <w:rPr>
          <w:rFonts w:ascii="NanumMyeongjo" w:eastAsia="NanumMyeongjo" w:hAnsi="NanumMyeongjo"/>
          <w:sz w:val="20"/>
        </w:rPr>
        <w:t>생명체는 DNA의 네 염기(A, T, G, C; RNA에서는 U)를 세 글자의 코돈으로 조합하여 단백질 합성 정보를 표현한다. 가능한 코돈은 4³=64개이며, 표준 유전암호에서는 61개가 20개의 표준 아미노산을 지정하고 3개가 종결 신호로 기능한다. “염기서열 → 코돈 → 아미노산 → 단백질”로 이어지는 체계는 분자 수준의 정보변환이라는 점에서 본론 1의 행동신호와 흥미로운 대비를 이룬다.</w:t>
      </w:r>
    </w:p>
    <w:p>
      <w:pPr>
        <w:ind w:firstLine="397"/>
        <w:jc w:val="both"/>
        <w:spacing w:after="60" w:before="0" w:line="341" w:lineRule="auto"/>
      </w:pPr>
      <w:r>
        <w:rPr>
          <w:rFonts w:ascii="NanumMyeongjo" w:eastAsia="NanumMyeongjo" w:hAnsi="NanumMyeongjo"/>
          <w:sz w:val="20"/>
        </w:rPr>
        <w:t>Shcherbak(2003)과 Rakočević(2004)는 아미노산의 핵자수, 원자수, 분자량과 유전암호의 배열에서 37의 배수와 여러 산술적 균형을 보고하였다. 이러한 계산이 실제 논문으로 제시되었다는 사실과, 그것이 생물학적으로 의도된 “숨겨진 암호”라는 주장은 구분해야 한다. 동위원소 선택, 아미노산의 분할과 분류방식에 따라 수적 구조의 강조점이 달라질 수 있기 때문이다. 따라서 이러한 패턴은 흥미로운 수학적 관찰로 소개하되, 설계자의 존재를 직접 증명하는 생물학적 법칙으로 단정하지 않는 것이 타당하다.</w:t>
      </w:r>
    </w:p>
    <w:p>
      <w:pPr>
        <w:keepNext/>
        <w:spacing w:after="60" w:before="120"/>
      </w:pPr>
      <w:r>
        <w:rPr>
          <w:rFonts w:ascii="NanumMyeongjo" w:eastAsia="NanumMyeongjo" w:hAnsi="NanumMyeongjo"/>
          <w:b/>
          <w:sz w:val="22"/>
        </w:rPr>
        <w:t>5. 창세기 1장 1절의 언어적·수학적 구조</w:t>
      </w:r>
    </w:p>
    <w:p>
      <w:pPr>
        <w:ind w:firstLine="397"/>
        <w:jc w:val="both"/>
        <w:spacing w:after="60" w:before="0" w:line="341" w:lineRule="auto"/>
      </w:pPr>
      <w:r>
        <w:rPr>
          <w:rFonts w:ascii="NanumMyeongjo" w:eastAsia="NanumMyeongjo" w:hAnsi="NanumMyeongjo"/>
          <w:sz w:val="20"/>
        </w:rPr>
        <w:t>자연의 질서를 살펴본 뒤 성경의 첫 문장으로 이동하면 또 다른 형태의 구조를 발견할 수 있다. 창세기 1장 1절 히브리어 본문은 다음의 7단어로 이루어진다.</w:t>
      </w:r>
    </w:p>
    <w:p>
      <w:pPr>
        <w:bidi/>
        <w:jc w:val="center"/>
        <w:spacing w:after="80" w:before="40"/>
      </w:pPr>
      <w:r>
        <w:rPr>
          <w:rFonts w:ascii="FreeSerif" w:eastAsia="FreeSerif" w:hAnsi="FreeSerif" w:cs="FreeSerif"/>
          <w:b/>
          <w:sz w:val="24"/>
          <w:rtl/>
        </w:rPr>
        <w:t>בְּרֵאשִׁית  בָּרָא  אֱלֹהִים  אֵת  הַשָּׁמַיִם  וְאֵת  הָאָרֶץ</w:t>
      </w:r>
    </w:p>
    <w:p>
      <w:pPr>
        <w:ind w:firstLine="397"/>
        <w:jc w:val="both"/>
        <w:spacing w:after="60" w:before="0" w:line="341" w:lineRule="auto"/>
      </w:pPr>
      <w:r>
        <w:rPr>
          <w:rFonts w:ascii="NanumMyeongjo" w:eastAsia="NanumMyeongjo" w:hAnsi="NanumMyeongjo"/>
          <w:sz w:val="20"/>
        </w:rPr>
        <w:t>마소라 본문의 자음을 일반적인 방식으로 세면 28글자(7×4)이다. 더 나아가 전통적인 히브리어 문자값을 적용하면 전체 합은 2701이며, 2701=37×73이다. 이 계산은 동일한 문자값 체계를 사용하면 재현할 수 있다.</w:t>
      </w:r>
    </w:p>
    <w:p>
      <w:pPr>
        <w:ind w:firstLine="397"/>
        <w:jc w:val="both"/>
        <w:spacing w:after="60" w:before="0" w:line="341" w:lineRule="auto"/>
      </w:pPr>
      <w:r>
        <w:rPr>
          <w:rFonts w:ascii="NanumMyeongjo" w:eastAsia="NanumMyeongjo" w:hAnsi="NanumMyeongjo"/>
          <w:sz w:val="20"/>
        </w:rPr>
        <w:t>그러나 7단어와 창세기 1장의 일곱 날 구조는 본문의 표면에서 직접 확인되는 문학적 사실인 반면, 2701과 37×73에 특정한 신적 암호가 의도되었다고 판단하는 것은 추가적인 해석이다. 따라서 “성경은 숫자 암호책이 아니다. 그러나 히브리어 성경이 반복과 구조를 가진 정교한 문학작품이라는 사실은 실제 본문을 통해 확인할 수 있다”는 수준이 가장 학문적으로 안정적이다.</w:t>
      </w:r>
    </w:p>
    <w:p>
      <w:pPr>
        <w:ind w:left="454" w:right="283"/>
        <w:jc w:val="both"/>
        <w:spacing w:after="80" w:before="60" w:line="324" w:lineRule="auto"/>
      </w:pPr>
      <w:r>
        <w:rPr>
          <w:rFonts w:ascii="NanumMyeongjo" w:eastAsia="NanumMyeongjo" w:hAnsi="NanumMyeongjo"/>
          <w:i/>
          <w:sz w:val="19"/>
        </w:rPr>
        <w:t>본론 1이 “의미를 가진 움직임은 정보가 된다”고 말한다면, 본론 2는 “질서를 가진 형태는 아름다움이 되고, 질서를 가진 정보는 생명을 움직인다”고 요약할 수 있다.</w:t>
      </w:r>
    </w:p>
    <w:p>
      <w:pPr>
        <w:keepNext/>
        <w:jc w:val="left"/>
        <w:spacing w:after="80" w:before="180"/>
      </w:pPr>
      <w:r>
        <w:rPr>
          <w:rFonts w:ascii="NanumMyeongjo" w:eastAsia="NanumMyeongjo" w:hAnsi="NanumMyeongjo"/>
          <w:b/>
          <w:sz w:val="28"/>
        </w:rPr>
        <w:t>Ⅳ. 본론 3 — 신화의 기억과 계시의 역사: 『오디세이아』와 성경</w:t>
      </w:r>
    </w:p>
    <w:p>
      <w:pPr>
        <w:keepNext/>
        <w:spacing w:after="60" w:before="120"/>
      </w:pPr>
      <w:r>
        <w:rPr>
          <w:rFonts w:ascii="NanumMyeongjo" w:eastAsia="NanumMyeongjo" w:hAnsi="NanumMyeongjo"/>
          <w:b/>
          <w:sz w:val="22"/>
        </w:rPr>
        <w:t>1. 왜 여러 민족의 이야기가 서로 닮았는가</w:t>
      </w:r>
    </w:p>
    <w:p>
      <w:pPr>
        <w:ind w:firstLine="397"/>
        <w:jc w:val="both"/>
        <w:spacing w:after="60" w:before="0" w:line="341" w:lineRule="auto"/>
      </w:pPr>
      <w:r>
        <w:rPr>
          <w:rFonts w:ascii="NanumMyeongjo" w:eastAsia="NanumMyeongjo" w:hAnsi="NanumMyeongjo"/>
          <w:sz w:val="20"/>
        </w:rPr>
        <w:t>고대 문헌에는 홍수, 거인, 신적 심판, 바다의 공포, 주술, 유혹과 귀향 같은 주제가 반복된다. 성경적 역사관에서는 창조, 타락, 대홍수와 바벨탑 이후 인류가 여러 언어와 민족으로 흩어졌다고 기록한다. 이 관점을 전제로 하면 공통된 원역사의 기억이 민족 분산 이후 각 문화의 언어, 종교와 상상력 속에서 달리 전승되었을 가능성을 제시할 수 있다. 메소포타미아의 『길가메시 서사시』 제11서판에도 홍수와 생존자에 관한 이야기가 보존되어 있어 고대 근동에 성경 밖의 홍수전승이 실제로 존재했음은 분명하다(British Museum, n.d.).</w:t>
      </w:r>
    </w:p>
    <w:p>
      <w:pPr>
        <w:ind w:firstLine="397"/>
        <w:jc w:val="both"/>
        <w:spacing w:after="60" w:before="0" w:line="341" w:lineRule="auto"/>
      </w:pPr>
      <w:r>
        <w:rPr>
          <w:rFonts w:ascii="NanumMyeongjo" w:eastAsia="NanumMyeongjo" w:hAnsi="NanumMyeongjo"/>
          <w:sz w:val="20"/>
        </w:rPr>
        <w:t>그러나 유사성은 직접적인 역사적 계보를 자동으로 증명하지 않는다. 유사한 이야기는 (1) 공통된 오래된 사건의 기억, (2) 무역과 이주를 통한 문화 간 전파, (3) 홍수·폭풍·전쟁·유혹·귀향 같은 보편적 인간 경험에서 독립적으로 발생했을 가능성을 함께 고려해야 한다. 따라서 “창조–홍수–바벨–민족 분산”은 성경적 세계관 안에서 유사성을 설명하는 일관된 틀이지만, 개별 신화의 특정 장면을 성경의 특정 사건과 동일시하려면 별도의 역사적 근거가 필요하다.</w:t>
      </w:r>
    </w:p>
    <w:p>
      <w:pPr>
        <w:keepNext/>
        <w:spacing w:after="60" w:before="120"/>
      </w:pPr>
      <w:r>
        <w:rPr>
          <w:rFonts w:ascii="NanumMyeongjo" w:eastAsia="NanumMyeongjo" w:hAnsi="NanumMyeongjo"/>
          <w:b/>
          <w:sz w:val="22"/>
        </w:rPr>
        <w:t>2. 『오디세이아』와 성경의 유사성과 한계</w:t>
      </w:r>
    </w:p>
    <w:tbl>
      <w:tblPr>
        <w:tblW w:w="0" w:type="auto"/>
        <w:tblLook w:val="04A0" w:firstRow="1" w:lastRow="0" w:firstColumn="1" w:lastColumn="0" w:noHBand="0" w:noVBand="1"/>
        <w:jc w:val="center"/>
        <w:tblLayout w:type="fixed"/>
      </w:tblPr>
      <w:tblGrid>
        <w:gridCol w:w="3175"/>
        <w:gridCol w:w="3175"/>
        <w:gridCol w:w="3175"/>
      </w:tblGrid>
      <w:tr>
        <w:trPr>
          <w:cantSplit/>
          <w:tblHeader/>
        </w:trPr>
        <w:tc>
          <w:tcPr>
            <w:tcW w:w="2721" w:type="dxa"/>
            <w:shd w:val="clear" w:color="auto" w:fill="E7E7E7"/>
            <w:tcMar>
              <w:top w:w="70" w:type="dxa"/>
              <w:bottom w:w="70" w:type="dxa"/>
            </w:tcMar>
            <w:vAlign w:val="center"/>
          </w:tcPr>
          <w:p>
            <w:pPr>
              <w:jc w:val="center"/>
              <w:spacing w:after="0" w:line="269" w:lineRule="auto"/>
            </w:pPr>
            <w:r>
              <w:rPr>
                <w:rFonts w:ascii="NanumMyeongjo" w:eastAsia="NanumMyeongjo" w:hAnsi="NanumMyeongjo"/>
                <w:b/>
                <w:sz w:val="16"/>
              </w:rPr>
              <w:t>『오디세이아』의 모티프</w:t>
            </w:r>
          </w:p>
        </w:tc>
        <w:tc>
          <w:tcPr>
            <w:tcW w:w="2721" w:type="dxa"/>
            <w:shd w:val="clear" w:color="auto" w:fill="E7E7E7"/>
            <w:tcMar>
              <w:top w:w="70" w:type="dxa"/>
              <w:bottom w:w="70" w:type="dxa"/>
            </w:tcMar>
            <w:vAlign w:val="center"/>
          </w:tcPr>
          <w:p>
            <w:pPr>
              <w:jc w:val="center"/>
              <w:spacing w:after="0" w:line="269" w:lineRule="auto"/>
            </w:pPr>
            <w:r>
              <w:rPr>
                <w:rFonts w:ascii="NanumMyeongjo" w:eastAsia="NanumMyeongjo" w:hAnsi="NanumMyeongjo"/>
                <w:b/>
                <w:sz w:val="16"/>
              </w:rPr>
              <w:t>성경에서 연상되는 소재</w:t>
            </w:r>
          </w:p>
        </w:tc>
        <w:tc>
          <w:tcPr>
            <w:tcW w:w="4082" w:type="dxa"/>
            <w:shd w:val="clear" w:color="auto" w:fill="E7E7E7"/>
            <w:tcMar>
              <w:top w:w="70" w:type="dxa"/>
              <w:bottom w:w="70" w:type="dxa"/>
            </w:tcMar>
            <w:vAlign w:val="center"/>
          </w:tcPr>
          <w:p>
            <w:pPr>
              <w:jc w:val="center"/>
              <w:spacing w:after="0" w:line="269" w:lineRule="auto"/>
            </w:pPr>
            <w:r>
              <w:rPr>
                <w:rFonts w:ascii="NanumMyeongjo" w:eastAsia="NanumMyeongjo" w:hAnsi="NanumMyeongjo"/>
                <w:b/>
                <w:sz w:val="16"/>
              </w:rPr>
              <w:t>주의점</w:t>
            </w:r>
          </w:p>
        </w:tc>
      </w:tr>
      <w:tr>
        <w:trPr>
          <w:cantSplit/>
        </w:trPr>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폴리페모스와 거대한 존재</w:t>
            </w:r>
          </w:p>
        </w:tc>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네피림·아낙 자손</w:t>
            </w:r>
          </w:p>
        </w:tc>
        <w:tc>
          <w:tcPr>
            <w:tcW w:w="4082" w:type="dxa"/>
            <w:tcMar>
              <w:top w:w="70" w:type="dxa"/>
              <w:bottom w:w="70" w:type="dxa"/>
            </w:tcMar>
            <w:vAlign w:val="center"/>
          </w:tcPr>
          <w:p>
            <w:pPr>
              <w:jc w:val="left"/>
              <w:spacing w:after="0" w:line="269" w:lineRule="auto"/>
            </w:pPr>
            <w:r>
              <w:rPr>
                <w:rFonts w:ascii="NanumMyeongjo" w:eastAsia="NanumMyeongjo" w:hAnsi="NanumMyeongjo"/>
                <w:b w:val="0"/>
                <w:sz w:val="16"/>
              </w:rPr>
              <w:t>외눈박이라는 특징은 성경에 없으므로 동일 집단으로 단정할 수 없음</w:t>
            </w:r>
          </w:p>
        </w:tc>
      </w:tr>
      <w:tr>
        <w:trPr>
          <w:cantSplit/>
        </w:trPr>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스킬라·카리브디스, 위험한 바다</w:t>
            </w:r>
          </w:p>
        </w:tc>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리워야단·혼돈의 바다</w:t>
            </w:r>
          </w:p>
        </w:tc>
        <w:tc>
          <w:tcPr>
            <w:tcW w:w="4082" w:type="dxa"/>
            <w:tcMar>
              <w:top w:w="70" w:type="dxa"/>
              <w:bottom w:w="70" w:type="dxa"/>
            </w:tcMar>
            <w:vAlign w:val="center"/>
          </w:tcPr>
          <w:p>
            <w:pPr>
              <w:jc w:val="left"/>
              <w:spacing w:after="0" w:line="269" w:lineRule="auto"/>
            </w:pPr>
            <w:r>
              <w:rPr>
                <w:rFonts w:ascii="NanumMyeongjo" w:eastAsia="NanumMyeongjo" w:hAnsi="NanumMyeongjo"/>
                <w:b w:val="0"/>
                <w:sz w:val="16"/>
              </w:rPr>
              <w:t>스킬라를 특정 해양동물이나 공룡으로 규정할 증거는 없음</w:t>
            </w:r>
          </w:p>
        </w:tc>
      </w:tr>
      <w:tr>
        <w:trPr>
          <w:cantSplit/>
        </w:trPr>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세이렌의 노래</w:t>
            </w:r>
          </w:p>
        </w:tc>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유혹과 미혹에 대한 경고</w:t>
            </w:r>
          </w:p>
        </w:tc>
        <w:tc>
          <w:tcPr>
            <w:tcW w:w="4082" w:type="dxa"/>
            <w:tcMar>
              <w:top w:w="70" w:type="dxa"/>
              <w:bottom w:w="70" w:type="dxa"/>
            </w:tcMar>
            <w:vAlign w:val="center"/>
          </w:tcPr>
          <w:p>
            <w:pPr>
              <w:jc w:val="left"/>
              <w:spacing w:after="0" w:line="269" w:lineRule="auto"/>
            </w:pPr>
            <w:r>
              <w:rPr>
                <w:rFonts w:ascii="NanumMyeongjo" w:eastAsia="NanumMyeongjo" w:hAnsi="NanumMyeongjo"/>
                <w:b w:val="0"/>
                <w:sz w:val="16"/>
              </w:rPr>
              <w:t>문학적·윤리적 비교이지 역사적 동일성의 증거는 아님</w:t>
            </w:r>
          </w:p>
        </w:tc>
      </w:tr>
      <w:tr>
        <w:trPr>
          <w:cantSplit/>
        </w:trPr>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키르케의 마술</w:t>
            </w:r>
          </w:p>
        </w:tc>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고대의 주술·초자연적 전승</w:t>
            </w:r>
          </w:p>
        </w:tc>
        <w:tc>
          <w:tcPr>
            <w:tcW w:w="4082" w:type="dxa"/>
            <w:tcMar>
              <w:top w:w="70" w:type="dxa"/>
              <w:bottom w:w="70" w:type="dxa"/>
            </w:tcMar>
            <w:vAlign w:val="center"/>
          </w:tcPr>
          <w:p>
            <w:pPr>
              <w:jc w:val="left"/>
              <w:spacing w:after="0" w:line="269" w:lineRule="auto"/>
            </w:pPr>
            <w:r>
              <w:rPr>
                <w:rFonts w:ascii="NanumMyeongjo" w:eastAsia="NanumMyeongjo" w:hAnsi="NanumMyeongjo"/>
                <w:b w:val="0"/>
                <w:sz w:val="16"/>
              </w:rPr>
              <w:t>직접적인 동일 사건보다 고대 문화의 주술 모티프로 보는 것이 안전함</w:t>
            </w:r>
          </w:p>
        </w:tc>
      </w:tr>
      <w:tr>
        <w:trPr>
          <w:cantSplit/>
        </w:trPr>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오랜 방황과 귀향</w:t>
            </w:r>
          </w:p>
        </w:tc>
        <w:tc>
          <w:tcPr>
            <w:tcW w:w="2721" w:type="dxa"/>
            <w:tcMar>
              <w:top w:w="70" w:type="dxa"/>
              <w:bottom w:w="70" w:type="dxa"/>
            </w:tcMar>
            <w:vAlign w:val="center"/>
          </w:tcPr>
          <w:p>
            <w:pPr>
              <w:jc w:val="left"/>
              <w:spacing w:after="0" w:line="269" w:lineRule="auto"/>
            </w:pPr>
            <w:r>
              <w:rPr>
                <w:rFonts w:ascii="NanumMyeongjo" w:eastAsia="NanumMyeongjo" w:hAnsi="NanumMyeongjo"/>
                <w:b w:val="0"/>
                <w:sz w:val="16"/>
              </w:rPr>
              <w:t>광야 여정·약속의 땅</w:t>
            </w:r>
          </w:p>
        </w:tc>
        <w:tc>
          <w:tcPr>
            <w:tcW w:w="4082" w:type="dxa"/>
            <w:tcMar>
              <w:top w:w="70" w:type="dxa"/>
              <w:bottom w:w="70" w:type="dxa"/>
            </w:tcMar>
            <w:vAlign w:val="center"/>
          </w:tcPr>
          <w:p>
            <w:pPr>
              <w:jc w:val="left"/>
              <w:spacing w:after="0" w:line="269" w:lineRule="auto"/>
            </w:pPr>
            <w:r>
              <w:rPr>
                <w:rFonts w:ascii="NanumMyeongjo" w:eastAsia="NanumMyeongjo" w:hAnsi="NanumMyeongjo"/>
                <w:b w:val="0"/>
                <w:sz w:val="16"/>
              </w:rPr>
              <w:t>개인 영웅의 귀환과 언약 공동체의 구원이라는 목적 차이가 큼</w:t>
            </w:r>
          </w:p>
        </w:tc>
      </w:tr>
    </w:tbl>
    <w:p>
      <w:pPr>
        <w:ind w:firstLine="397"/>
        <w:jc w:val="both"/>
        <w:spacing w:after="60" w:before="0" w:line="341" w:lineRule="auto"/>
      </w:pPr>
      <w:r>
        <w:rPr>
          <w:rFonts w:ascii="NanumMyeongjo" w:eastAsia="NanumMyeongjo" w:hAnsi="NanumMyeongjo"/>
          <w:sz w:val="20"/>
        </w:rPr>
        <w:t>이러한 비교는 “동일 사건”이 아니라 “유사한 모티프”라는 수준에서 사용해야 한다. Bruce Louden(2011)은 『오디세이아』와 고대 근동·성경 전승 사이에 다양한 서사적 평행관계가 존재함을 분석하였다. 또한 호메로스 서사시는 오랜 구전 공연 속에서 형성되고 변화한 전통으로 이해된다(Nagy, 1996). 따라서 실제 사건이나 오래된 기억이 전승의 출발점이었다 하더라도 후대의 시적 과장, 문화적 재해석과 신화적 요소가 결합될 수 있다.</w:t>
      </w:r>
    </w:p>
    <w:p>
      <w:pPr>
        <w:keepNext/>
        <w:spacing w:after="60" w:before="120"/>
      </w:pPr>
      <w:r>
        <w:rPr>
          <w:rFonts w:ascii="NanumMyeongjo" w:eastAsia="NanumMyeongjo" w:hAnsi="NanumMyeongjo"/>
          <w:b/>
          <w:sz w:val="22"/>
        </w:rPr>
        <w:t>3. 『오디세이아』와 모세오경의 기록 목적 차이</w:t>
      </w:r>
    </w:p>
    <w:p>
      <w:pPr>
        <w:ind w:firstLine="397"/>
        <w:jc w:val="both"/>
        <w:spacing w:after="60" w:before="0" w:line="341" w:lineRule="auto"/>
      </w:pPr>
      <w:r>
        <w:rPr>
          <w:rFonts w:ascii="NanumMyeongjo" w:eastAsia="NanumMyeongjo" w:hAnsi="NanumMyeongjo"/>
          <w:sz w:val="20"/>
        </w:rPr>
        <w:t>두 문헌은 모두 고대의 과거를 다루지만 서술의 목적과 방식은 다르다. 『오디세이아』는 오디세우스라는 영웅의 귀향을 중심으로 용기, 지혜, 교만, 유혹과 운명을 노래하는 서사시이다. 반면 모세오경은 창조와 타락, 홍수, 족장, 출애굽, 시내산 언약과 광야생활을 하나의 언약사로 연결한다. 족보, 지명, 이동경로, 기간, 절기와 지파가 반복적으로 제시되고, 노아·아브라함·야곱·모세 같은 핵심 인물의 실패도 숨기지 않는다.</w:t>
      </w:r>
    </w:p>
    <w:p>
      <w:pPr>
        <w:ind w:left="454" w:right="283"/>
        <w:jc w:val="both"/>
        <w:spacing w:after="80" w:before="60" w:line="324" w:lineRule="auto"/>
      </w:pPr>
      <w:r>
        <w:rPr>
          <w:rFonts w:ascii="NanumMyeongjo" w:eastAsia="NanumMyeongjo" w:hAnsi="NanumMyeongjo"/>
          <w:i/>
          <w:sz w:val="19"/>
        </w:rPr>
        <w:t>“『오디세이아』가 영웅의 귀향을 시적 서사로 노래한다면, 모세오경은 창조주와 인간 사이의 관계를 창조–타락–심판–언약–구원의 역사로 제시한다.”</w:t>
      </w:r>
    </w:p>
    <w:p>
      <w:pPr>
        <w:keepNext/>
        <w:spacing w:after="60" w:before="120"/>
      </w:pPr>
      <w:r>
        <w:rPr>
          <w:rFonts w:ascii="NanumMyeongjo" w:eastAsia="NanumMyeongjo" w:hAnsi="NanumMyeongjo"/>
          <w:b/>
          <w:sz w:val="22"/>
        </w:rPr>
        <w:t>4. 사본 전승과 역사성의 검증</w:t>
      </w:r>
    </w:p>
    <w:p>
      <w:pPr>
        <w:ind w:firstLine="397"/>
        <w:jc w:val="both"/>
        <w:spacing w:after="60" w:before="0" w:line="341" w:lineRule="auto"/>
      </w:pPr>
      <w:r>
        <w:rPr>
          <w:rFonts w:ascii="NanumMyeongjo" w:eastAsia="NanumMyeongjo" w:hAnsi="NanumMyeongjo"/>
          <w:sz w:val="20"/>
        </w:rPr>
        <w:t>성경과 호메로스 문헌을 비교할 때 “사본 수가 많으면 역사적 사건도 참이다”라는 논증은 피해야 한다. 시카고대학교 도서관에 따르면 호메로스 작품도 1,000점 이상의 사본이 남아 있고 약 300점의 중세 『일리아스』 또는 『오디세이아』 사본이 전해진다(University of Chicago Library, n.d.). 사본의 양은 본문이 얼마나 널리 전승되었는지와 본문비평의 자료량을 말해 주지만, 이야기 속 사건 자체의 역사성을 직접 증명하지는 않는다.</w:t>
      </w:r>
    </w:p>
    <w:p>
      <w:pPr>
        <w:ind w:firstLine="397"/>
        <w:jc w:val="both"/>
        <w:spacing w:after="60" w:before="0" w:line="341" w:lineRule="auto"/>
      </w:pPr>
      <w:r>
        <w:rPr>
          <w:rFonts w:ascii="NanumMyeongjo" w:eastAsia="NanumMyeongjo" w:hAnsi="NanumMyeongjo"/>
          <w:sz w:val="20"/>
        </w:rPr>
        <w:t>히브리 성경의 중요한 자료인 사해문서에는 약 230개의 “성경 사본”이 포함되며 에스더서를 제외한 히브리 성경의 모든 책이 부분 또는 전체 형태로 확인된다. 이 가운데 많은 사본은 천 년 이상 후대의 마소라 본문과 매우 가깝지만, 철자와 단어, 첨가·생략 등의 변이도 존재한다(Israel Antiquities Authority, n.d.; Tov, 2012). 따라서 사해문서는 “한 글자도 변하지 않았다”는 식의 단순한 주장이 아니라, 오랜 기간 상당한 본문 안정성과 실제 필사 과정의 변이를 동시에 보여주는 자료로 이해해야 한다.</w:t>
      </w:r>
    </w:p>
    <w:p>
      <w:pPr>
        <w:ind w:firstLine="397"/>
        <w:jc w:val="both"/>
        <w:spacing w:after="60" w:before="0" w:line="341" w:lineRule="auto"/>
      </w:pPr>
      <w:r>
        <w:rPr>
          <w:rFonts w:ascii="NanumMyeongjo" w:eastAsia="NanumMyeongjo" w:hAnsi="NanumMyeongjo"/>
          <w:sz w:val="20"/>
        </w:rPr>
        <w:t>결국 사본은 “무엇이라고 기록되어 있었는가”를 검증하고, 사건의 역사성은 본문의 장르와 내부 연대, 지리, 고고학, 비문과 외부 역사기록을 종합하여 판단해야 한다. 그러므로 본 장의 핵심 명제는 다음과 같다.</w:t>
      </w:r>
    </w:p>
    <w:p>
      <w:pPr>
        <w:ind w:left="454" w:right="283"/>
        <w:jc w:val="both"/>
        <w:spacing w:after="80" w:before="60" w:line="324" w:lineRule="auto"/>
      </w:pPr>
      <w:r>
        <w:rPr>
          <w:rFonts w:ascii="NanumMyeongjo" w:eastAsia="NanumMyeongjo" w:hAnsi="NanumMyeongjo"/>
          <w:i/>
          <w:sz w:val="19"/>
        </w:rPr>
        <w:t>“유사성은 공통기억의 가능성을 보여주지만, 성경의 역사성은 유사성 자체가 아니라 구체적인 역사 기록과 독립적인 교차검증 위에서 논의되어야 한다.”</w:t>
      </w:r>
    </w:p>
    <w:p>
      <w:pPr>
        <w:keepNext/>
        <w:jc w:val="left"/>
        <w:spacing w:after="80" w:before="180"/>
      </w:pPr>
      <w:r>
        <w:rPr>
          <w:rFonts w:ascii="NanumMyeongjo" w:eastAsia="NanumMyeongjo" w:hAnsi="NanumMyeongjo"/>
          <w:b/>
          <w:sz w:val="28"/>
        </w:rPr>
        <w:t>Ⅴ. 결론 — 자연은 말하고, 말씀은 길을 보여준다</w:t>
      </w:r>
    </w:p>
    <w:p>
      <w:pPr>
        <w:ind w:firstLine="397"/>
        <w:jc w:val="both"/>
        <w:spacing w:after="60" w:before="0" w:line="341" w:lineRule="auto"/>
      </w:pPr>
      <w:r>
        <w:rPr>
          <w:rFonts w:ascii="NanumMyeongjo" w:eastAsia="NanumMyeongjo" w:hAnsi="NanumMyeongjo"/>
          <w:sz w:val="20"/>
        </w:rPr>
        <w:t>본 논문은 세 영역을 하나의 흐름으로 살펴보았다. 첫째, 생명체의 몸짓에는 정보가 있다. 꿀벌은 춤의 각도와 시간으로 공간정보를 전달하고, 농게는 신호의 속도와 패턴을 이용하며, 공작거미는 색·동작·진동을 결합한다. 둘째, 자연과 생명에는 반복 가능한 질서가 있다. 인간의 뇌는 아름다움에 가치반응을 보이고, 식물과 얼음결정에는 기하학적 질서가 나타나며, 유전암호는 분자 수준의 정보변환 체계를 이룬다. 셋째, 인간의 고대 서사에는 역사적 기억과 문화적 상상력이 함께 담겨 있으며, 성경의 역사성은 그 유사성 자체보다 본문과 사본, 지리와 외부자료의 교차검증을 통해 논의되어야 한다.</w:t>
      </w:r>
    </w:p>
    <w:p>
      <w:pPr>
        <w:ind w:firstLine="397"/>
        <w:jc w:val="both"/>
        <w:spacing w:after="60" w:before="0" w:line="341" w:lineRule="auto"/>
      </w:pPr>
      <w:r>
        <w:rPr>
          <w:rFonts w:ascii="NanumMyeongjo" w:eastAsia="NanumMyeongjo" w:hAnsi="NanumMyeongjo"/>
          <w:sz w:val="20"/>
        </w:rPr>
        <w:t>이 세 본론을 연결하는 핵심어는 “정보”와 “질서”이다. 동물의 춤에는 행동의 정보가 있고, DNA에는 생명의 정보가 있으며, 자연의 형태에는 반복되는 질서가 있고, 인간의 문헌에는 역사의 기억이 있다. 창조신앙은 이러한 현상을 곧바로 수학적 또는 실험적 “창조주 증명”으로 환원하지 않는다. 오히려 자연이 왜 이해 가능한가, 생명은 왜 정보를 사용하는가, 질서와 기능은 왜 아름다움과 함께 나타나는가라는 더 근본적인 질문을 던진다.</w:t>
      </w:r>
    </w:p>
    <w:p>
      <w:pPr>
        <w:ind w:firstLine="397"/>
        <w:jc w:val="both"/>
        <w:spacing w:after="60" w:before="0" w:line="341" w:lineRule="auto"/>
      </w:pPr>
      <w:r>
        <w:rPr>
          <w:rFonts w:ascii="NanumMyeongjo" w:eastAsia="NanumMyeongjo" w:hAnsi="NanumMyeongjo"/>
          <w:sz w:val="20"/>
        </w:rPr>
        <w:t>시편 19편은 하늘이 “언어도 없고 말씀도 없으며 들리는 소리도 없으나” 하나님의 영광을 선포한다고 노래한다. 자연은 인간의 문장으로 말하지 않지만, 창조신앙의 눈에는 생명과 질서가 창조주의 지혜를 가리키는 표지가 된다. 그리고 성경은 자연관찰만으로는 알 수 없는 인간의 기원과 목적, 죄와 구원, 하나님과의 관계를 말씀의 형태로 제시한다.</w:t>
      </w:r>
    </w:p>
    <w:p>
      <w:pPr>
        <w:ind w:firstLine="397"/>
        <w:jc w:val="both"/>
        <w:spacing w:after="60" w:before="0" w:line="341" w:lineRule="auto"/>
      </w:pPr>
      <w:r>
        <w:rPr>
          <w:rFonts w:ascii="NanumMyeongjo" w:eastAsia="NanumMyeongjo" w:hAnsi="NanumMyeongjo"/>
          <w:sz w:val="20"/>
        </w:rPr>
        <w:t>이 점에서 비전은 단순한 개인적 꿈이 아니라 “누가 나를 지으셨으며, 나는 왜 존재하고, 어떻게 살아야 하는가”를 발견하는 데서 시작한다. 과학과 자연을 탐구하여 창조세계의 질서를 발견하고, 성경을 통하여 창조주의 뜻을 배우며, 그 복음을 삶과 선교를 통해 전하는 것이 본 연구가 지향하는 비전 캐스팅의 의미이다.</w:t>
      </w:r>
    </w:p>
    <w:p>
      <w:pPr>
        <w:ind w:left="454" w:right="283"/>
        <w:jc w:val="both"/>
        <w:spacing w:after="80" w:before="60" w:line="324" w:lineRule="auto"/>
      </w:pPr>
      <w:r>
        <w:rPr>
          <w:rFonts w:ascii="NanumMyeongjo" w:eastAsia="NanumMyeongjo" w:hAnsi="NanumMyeongjo"/>
          <w:i/>
          <w:sz w:val="19"/>
        </w:rPr>
        <w:t>“자연은 말하고 있다. 생명은 정보를 전하고 있다. 역사는 기억을 남기고 있다. 그러나 말씀은 우리가 어디에서 왔으며 어디로 가야 하는지를 알려준다.”</w:t>
      </w:r>
    </w:p>
    <w:p>
      <w:pPr>
        <w:keepNext/>
        <w:jc w:val="left"/>
        <w:spacing w:after="80" w:before="180"/>
      </w:pPr>
      <w:r>
        <w:rPr>
          <w:rFonts w:ascii="NanumMyeongjo" w:eastAsia="NanumMyeongjo" w:hAnsi="NanumMyeongjo"/>
          <w:b/>
          <w:sz w:val="28"/>
        </w:rPr>
        <w:t>참고문헌</w:t>
      </w:r>
    </w:p>
    <w:p>
      <w:pPr>
        <w:ind w:left="283" w:hanging="283"/>
        <w:jc w:val="left"/>
        <w:spacing w:after="30" w:line="288" w:lineRule="auto"/>
      </w:pPr>
      <w:r>
        <w:rPr>
          <w:rFonts w:ascii="NanumMyeongjo" w:eastAsia="NanumMyeongjo" w:hAnsi="NanumMyeongjo"/>
          <w:sz w:val="17"/>
        </w:rPr>
        <w:t>Berke, J. D. (2018). What does dopamine mean? Nature Neuroscience, 21, 787–793. https://doi.org/10.1038/s41593-018-0152-y</w:t>
      </w:r>
    </w:p>
    <w:p>
      <w:pPr>
        <w:ind w:left="283" w:hanging="283"/>
        <w:jc w:val="left"/>
        <w:spacing w:after="30" w:line="288" w:lineRule="auto"/>
      </w:pPr>
      <w:r>
        <w:rPr>
          <w:rFonts w:ascii="NanumMyeongjo" w:eastAsia="NanumMyeongjo" w:hAnsi="NanumMyeongjo"/>
          <w:sz w:val="17"/>
        </w:rPr>
        <w:t>Berridge, K. C., &amp; Robinson, T. E. (1998). What is the role of dopamine in reward: Hedonic impact, reward learning, or incentive salience? Brain Research Reviews, 28(3), 309–369.</w:t>
      </w:r>
    </w:p>
    <w:p>
      <w:pPr>
        <w:ind w:left="283" w:hanging="283"/>
        <w:jc w:val="left"/>
        <w:spacing w:after="30" w:line="288" w:lineRule="auto"/>
      </w:pPr>
      <w:r>
        <w:rPr>
          <w:rFonts w:ascii="NanumMyeongjo" w:eastAsia="NanumMyeongjo" w:hAnsi="NanumMyeongjo"/>
          <w:sz w:val="17"/>
        </w:rPr>
        <w:t>British Museum. (n.d.). The Flood Tablet (K.3375), Tablet 11 of the Epic of Gilgamesh. British Museum Collection.</w:t>
      </w:r>
    </w:p>
    <w:p>
      <w:pPr>
        <w:ind w:left="283" w:hanging="283"/>
        <w:jc w:val="left"/>
        <w:spacing w:after="30" w:line="288" w:lineRule="auto"/>
      </w:pPr>
      <w:r>
        <w:rPr>
          <w:rFonts w:ascii="NanumMyeongjo" w:eastAsia="NanumMyeongjo" w:hAnsi="NanumMyeongjo"/>
          <w:sz w:val="17"/>
        </w:rPr>
        <w:t>Elliger, K., &amp; Rudolph, W. (Eds.). (1997). Biblia Hebraica Stuttgartensia (5th ed.). Deutsche Bibelgesellschaft.</w:t>
      </w:r>
    </w:p>
    <w:p>
      <w:pPr>
        <w:ind w:left="283" w:hanging="283"/>
        <w:jc w:val="left"/>
        <w:spacing w:after="30" w:line="288" w:lineRule="auto"/>
      </w:pPr>
      <w:r>
        <w:rPr>
          <w:rFonts w:ascii="NanumMyeongjo" w:eastAsia="NanumMyeongjo" w:hAnsi="NanumMyeongjo"/>
          <w:sz w:val="17"/>
        </w:rPr>
        <w:t>Girard, M. B., Kasumovic, M. M., &amp; Elias, D. O. (2011). Multi-modal courtship in the peacock spider, Maratus volans. PLoS ONE, 6(9), e25390. https://doi.org/10.1371/journal.pone.0025390</w:t>
      </w:r>
    </w:p>
    <w:p>
      <w:pPr>
        <w:ind w:left="283" w:hanging="283"/>
        <w:jc w:val="left"/>
        <w:spacing w:after="30" w:line="288" w:lineRule="auto"/>
      </w:pPr>
      <w:r>
        <w:rPr>
          <w:rFonts w:ascii="NanumMyeongjo" w:eastAsia="NanumMyeongjo" w:hAnsi="NanumMyeongjo"/>
          <w:sz w:val="17"/>
        </w:rPr>
        <w:t>Girard, M. B., Elias, D. O., &amp; Kasumovic, M. M. (2015). Female preference for multi-modal courtship: Multiple signals are important for male mating success in peacock spiders. Proceedings of the Royal Society B, 282, 20152222.</w:t>
      </w:r>
    </w:p>
    <w:p>
      <w:pPr>
        <w:ind w:left="283" w:hanging="283"/>
        <w:jc w:val="left"/>
        <w:spacing w:after="30" w:line="288" w:lineRule="auto"/>
      </w:pPr>
      <w:r>
        <w:rPr>
          <w:rFonts w:ascii="NanumMyeongjo" w:eastAsia="NanumMyeongjo" w:hAnsi="NanumMyeongjo"/>
          <w:sz w:val="17"/>
        </w:rPr>
        <w:t>Hu, C.-P., Huang, Y., Eickhoff, S. B., Peng, K., &amp; Sui, J. (2020). Seeking the “Beauty Center” in the Brain: A meta-analysis of fMRI studies of beautiful human faces and visual art. Cognitive, Affective, &amp; Behavioral Neuroscience, 20, 1200–1215. https://doi.org/10.3758/s13415-020-00827-z</w:t>
      </w:r>
    </w:p>
    <w:p>
      <w:pPr>
        <w:ind w:left="283" w:hanging="283"/>
        <w:jc w:val="left"/>
        <w:spacing w:after="30" w:line="288" w:lineRule="auto"/>
      </w:pPr>
      <w:r>
        <w:rPr>
          <w:rFonts w:ascii="NanumMyeongjo" w:eastAsia="NanumMyeongjo" w:hAnsi="NanumMyeongjo"/>
          <w:sz w:val="17"/>
        </w:rPr>
        <w:t>Israel Antiquities Authority. (n.d.). The Dead Sea Scrolls: Introduction; Scrolls Content. The Leon Levy Dead Sea Scrolls Digital Library.</w:t>
      </w:r>
    </w:p>
    <w:p>
      <w:pPr>
        <w:ind w:left="283" w:hanging="283"/>
        <w:jc w:val="left"/>
        <w:spacing w:after="30" w:line="288" w:lineRule="auto"/>
      </w:pPr>
      <w:r>
        <w:rPr>
          <w:rFonts w:ascii="NanumMyeongjo" w:eastAsia="NanumMyeongjo" w:hAnsi="NanumMyeongjo"/>
          <w:sz w:val="17"/>
        </w:rPr>
        <w:t>Klar, A. J. S. (2002). Plant mathematics: Fibonacci’s flowers. Nature, 417, 595. https://doi.org/10.1038/417595a</w:t>
      </w:r>
    </w:p>
    <w:p>
      <w:pPr>
        <w:ind w:left="283" w:hanging="283"/>
        <w:jc w:val="left"/>
        <w:spacing w:after="30" w:line="288" w:lineRule="auto"/>
      </w:pPr>
      <w:r>
        <w:rPr>
          <w:rFonts w:ascii="NanumMyeongjo" w:eastAsia="NanumMyeongjo" w:hAnsi="NanumMyeongjo"/>
          <w:sz w:val="17"/>
        </w:rPr>
        <w:t>Loader, J. A. (2011). What do the heavens declare? On the Old Testament motif of God’s beauty in creation. HTS Teologiese Studies/Theological Studies, 67(3).</w:t>
      </w:r>
    </w:p>
    <w:p>
      <w:pPr>
        <w:ind w:left="283" w:hanging="283"/>
        <w:jc w:val="left"/>
        <w:spacing w:after="30" w:line="288" w:lineRule="auto"/>
      </w:pPr>
      <w:r>
        <w:rPr>
          <w:rFonts w:ascii="NanumMyeongjo" w:eastAsia="NanumMyeongjo" w:hAnsi="NanumMyeongjo"/>
          <w:sz w:val="17"/>
        </w:rPr>
        <w:t>Louden, B. (2011). Homer’s Odyssey and the Near East. Cambridge University Press. https://doi.org/10.1017/CBO9780511779794</w:t>
      </w:r>
    </w:p>
    <w:p>
      <w:pPr>
        <w:ind w:left="283" w:hanging="283"/>
        <w:jc w:val="left"/>
        <w:spacing w:after="30" w:line="288" w:lineRule="auto"/>
      </w:pPr>
      <w:r>
        <w:rPr>
          <w:rFonts w:ascii="NanumMyeongjo" w:eastAsia="NanumMyeongjo" w:hAnsi="NanumMyeongjo"/>
          <w:sz w:val="17"/>
        </w:rPr>
        <w:t>Maynard Smith, J., &amp; Harper, D. (2003). Animal Signals. Oxford University Press.</w:t>
      </w:r>
    </w:p>
    <w:p>
      <w:pPr>
        <w:ind w:left="283" w:hanging="283"/>
        <w:jc w:val="left"/>
        <w:spacing w:after="30" w:line="288" w:lineRule="auto"/>
      </w:pPr>
      <w:r>
        <w:rPr>
          <w:rFonts w:ascii="NanumMyeongjo" w:eastAsia="NanumMyeongjo" w:hAnsi="NanumMyeongjo"/>
          <w:sz w:val="17"/>
        </w:rPr>
        <w:t>Mowles, S. L., Jennions, M. D., &amp; Backwell, P. R. Y. (2018). Robotic crabs reveal that female fiddler crabs are sensitive to changes in male display rate. Biology Letters, 14(1), 20170695. https://doi.org/10.1098/rsbl.2017.0695</w:t>
      </w:r>
    </w:p>
    <w:p>
      <w:pPr>
        <w:ind w:left="283" w:hanging="283"/>
        <w:jc w:val="left"/>
        <w:spacing w:after="30" w:line="288" w:lineRule="auto"/>
      </w:pPr>
      <w:r>
        <w:rPr>
          <w:rFonts w:ascii="NanumMyeongjo" w:eastAsia="NanumMyeongjo" w:hAnsi="NanumMyeongjo"/>
          <w:sz w:val="17"/>
        </w:rPr>
        <w:t>Nagy, G. (1996). Poetry as Performance: Homer and Beyond. Cambridge University Press.</w:t>
      </w:r>
    </w:p>
    <w:p>
      <w:pPr>
        <w:ind w:left="283" w:hanging="283"/>
        <w:jc w:val="left"/>
        <w:spacing w:after="30" w:line="288" w:lineRule="auto"/>
      </w:pPr>
      <w:r>
        <w:rPr>
          <w:rFonts w:ascii="NanumMyeongjo" w:eastAsia="NanumMyeongjo" w:hAnsi="NanumMyeongjo"/>
          <w:sz w:val="17"/>
        </w:rPr>
        <w:t>Nature Machine Intelligence. (2026). From embodied intelligence to physical AI. Nature Machine Intelligence, 8, 491–492. https://doi.org/10.1038/s42256-026-01239-3</w:t>
      </w:r>
    </w:p>
    <w:p>
      <w:pPr>
        <w:ind w:left="283" w:hanging="283"/>
        <w:jc w:val="left"/>
        <w:spacing w:after="30" w:line="288" w:lineRule="auto"/>
      </w:pPr>
      <w:r>
        <w:rPr>
          <w:rFonts w:ascii="NanumMyeongjo" w:eastAsia="NanumMyeongjo" w:hAnsi="NanumMyeongjo"/>
          <w:sz w:val="17"/>
        </w:rPr>
        <w:t>Nobel Prize. (1973). The Nobel Prize in Physiology or Medicine 1973: Karl von Frisch, Konrad Lorenz and Nikolaas Tinbergen. NobelPrize.org.</w:t>
      </w:r>
    </w:p>
    <w:p>
      <w:pPr>
        <w:ind w:left="283" w:hanging="283"/>
        <w:jc w:val="left"/>
        <w:spacing w:after="30" w:line="288" w:lineRule="auto"/>
      </w:pPr>
      <w:r>
        <w:rPr>
          <w:rFonts w:ascii="NanumMyeongjo" w:eastAsia="NanumMyeongjo" w:hAnsi="NanumMyeongjo"/>
          <w:sz w:val="17"/>
        </w:rPr>
        <w:t>Rakočević, M. M. (2004). A harmonic structure of the genetic code. Journal of Theoretical Biology, 229(2), 221–234. https://doi.org/10.1016/j.jtbi.2004.03.017</w:t>
      </w:r>
    </w:p>
    <w:p>
      <w:pPr>
        <w:ind w:left="283" w:hanging="283"/>
        <w:jc w:val="left"/>
        <w:spacing w:after="30" w:line="288" w:lineRule="auto"/>
      </w:pPr>
      <w:r>
        <w:rPr>
          <w:rFonts w:ascii="NanumMyeongjo" w:eastAsia="NanumMyeongjo" w:hAnsi="NanumMyeongjo"/>
          <w:sz w:val="17"/>
        </w:rPr>
        <w:t>Shcherbak, V. I. (2003). Arithmetic inside the universal genetic code. BioSystems, 70(3), 187–209. https://doi.org/10.1016/S0303-2647(03)00066-2</w:t>
      </w:r>
    </w:p>
    <w:p>
      <w:pPr>
        <w:ind w:left="283" w:hanging="283"/>
        <w:jc w:val="left"/>
        <w:spacing w:after="30" w:line="288" w:lineRule="auto"/>
      </w:pPr>
      <w:r>
        <w:rPr>
          <w:rFonts w:ascii="NanumMyeongjo" w:eastAsia="NanumMyeongjo" w:hAnsi="NanumMyeongjo"/>
          <w:sz w:val="17"/>
        </w:rPr>
        <w:t>Tov, E. (2012). Textual Criticism of the Hebrew Bible (3rd ed.). Fortress Press.</w:t>
      </w:r>
    </w:p>
    <w:p>
      <w:pPr>
        <w:ind w:left="283" w:hanging="283"/>
        <w:jc w:val="left"/>
        <w:spacing w:after="30" w:line="288" w:lineRule="auto"/>
      </w:pPr>
      <w:r>
        <w:rPr>
          <w:rFonts w:ascii="NanumMyeongjo" w:eastAsia="NanumMyeongjo" w:hAnsi="NanumMyeongjo"/>
          <w:sz w:val="17"/>
        </w:rPr>
        <w:t>University of Chicago Library. (n.d.). Homer Before Print: Homer in Print—Transmission and Reception of Homer’s Works.</w:t>
      </w:r>
    </w:p>
    <w:p>
      <w:pPr>
        <w:ind w:left="283" w:hanging="283"/>
        <w:jc w:val="left"/>
        <w:spacing w:after="30" w:line="288" w:lineRule="auto"/>
      </w:pPr>
      <w:r>
        <w:rPr>
          <w:rFonts w:ascii="NanumMyeongjo" w:eastAsia="NanumMyeongjo" w:hAnsi="NanumMyeongjo"/>
          <w:sz w:val="17"/>
        </w:rPr>
        <w:t>von Frisch, K. (1967). The Dance Language and Orientation of Bees. Belknap Press of Harvard University Press.</w:t>
      </w:r>
    </w:p>
    <w:p>
      <w:pPr>
        <w:ind w:left="283" w:hanging="283"/>
        <w:jc w:val="left"/>
        <w:spacing w:after="30" w:line="288" w:lineRule="auto"/>
      </w:pPr>
      <w:r>
        <w:rPr>
          <w:rFonts w:ascii="NanumMyeongjo" w:eastAsia="NanumMyeongjo" w:hAnsi="NanumMyeongjo"/>
          <w:sz w:val="17"/>
        </w:rPr>
        <w:t>성경전서. 창세기 1–11장; 출애굽기; 민수기; 시편 19:1–4; 104:24; 마가복음 16:15.</w:t>
      </w:r>
    </w:p>
    <w:sectPr>
      <w:pgSz w:w="11906" w:h="16838"/>
      <w:pgMar w:top="964" w:right="1191" w:bottom="964" w:left="1191" w:header="454" w:footer="454" w:gutter="0"/>
      <w:cols w:space="720"/>
      <w:docGrid w:linePitch="360"/>
      <w:foot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NanumMyeongjo">
    <w:panose1 w:val="02020603020101020101"/>
    <w:notTrueType w:val="false"/>
    <w:sig w:usb0="7FFFFFFF" w:usb1="01D7FCFB" w:usb2="00000010" w:usb3="00000001" w:csb0="00080001" w:csb1="00000001"/>
  </w:font>
  <w:font w:name="FreeSerif">
    <w:panose1 w:val="02020603050405020304"/>
    <w:notTrueType w:val="false"/>
    <w:sig w:usb0="7FFFFFFF" w:usb1="7FFFFFFF" w:usb2="03501B28" w:usb3="00000001" w:csb0="600101FF" w:csb1="7FFFFFFF"/>
  </w:font>
  <w:font w:name="Courier">
    <w:charset w:val="00"/>
    <w:notTrueType w:val="false"/>
  </w:font>
  <w:font w:name="Symbol">
    <w:panose1 w:val="05050102010706020507"/>
    <w:family w:val="Symbol"/>
    <w:charset w:val="00"/>
    <w:notTrueType w:val="false"/>
    <w:sig w:usb0="00000001" w:usb1="00000001" w:usb2="00000001" w:usb3="00000001" w:csb0="7FFFFFFF"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jc w:val="center"/>
    </w:pPr>
    <w:r>
      <w:rPr>
        <w:rFonts w:ascii="NanumMyeongjo" w:eastAsia="NanumMyeongjo" w:hAnsi="NanumMyeongjo"/>
        <w:sz w:val="17"/>
      </w:rPr>
      <w:fldChar w:fldCharType="begin"/>
    </w:r>
    <w:r>
      <w:rPr>
        <w:rFonts w:ascii="NanumMyeongjo" w:eastAsia="NanumMyeongjo" w:hAnsi="NanumMyeongjo"/>
        <w:sz w:val="17"/>
      </w:rPr>
      <w:instrText xml:space="preserve"> PAGE </w:instrText>
    </w:r>
    <w:r>
      <w:rPr>
        <w:rFonts w:ascii="NanumMyeongjo" w:eastAsia="NanumMyeongjo" w:hAnsi="NanumMyeongjo"/>
        <w:sz w:val="17"/>
      </w:rP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ffffff89"/>
    <w:multiLevelType w:val="singleLevel"/>
    <w:tmpl w:val="29761a62"/>
    <w:lvl w:ilvl="0">
      <w:start w:val="1"/>
      <w:numFmt w:val="bullet"/>
      <w:lvlText w:val=""/>
      <w:lvlJc w:val="left"/>
      <w:pStyle w:val="ListBullet"/>
      <w:pPr>
        <w:ind w:left="360" w:hanging="360"/>
        <w:tabs>
          <w:tab w:val="num" w:pos="360"/>
        </w:tabs>
      </w:pPr>
      <w:rPr>
        <w:rFonts w:ascii="Symbol" w:hAnsi="Symbol" w:hint="default"/>
      </w:rPr>
    </w:lvl>
  </w:abstractNum>
  <w:abstractNum w:abstractNumId="1">
    <w:nsid w:val="ffffff83"/>
    <w:multiLevelType w:val="singleLevel"/>
    <w:tmpl w:val="3d1effd4"/>
    <w:lvl w:ilvl="0">
      <w:start w:val="1"/>
      <w:numFmt w:val="bullet"/>
      <w:lvlText w:val=""/>
      <w:lvlJc w:val="left"/>
      <w:pStyle w:val="ListBullet2"/>
      <w:pPr>
        <w:ind w:left="720" w:hanging="360"/>
        <w:tabs>
          <w:tab w:val="num" w:pos="720"/>
        </w:tabs>
      </w:pPr>
      <w:rPr>
        <w:rFonts w:ascii="Symbol" w:hAnsi="Symbol" w:hint="default"/>
      </w:rPr>
    </w:lvl>
  </w:abstractNum>
  <w:abstractNum w:abstractNumId="2">
    <w:nsid w:val="ffffff82"/>
    <w:multiLevelType w:val="singleLevel"/>
    <w:tmpl w:val="f3eafdec"/>
    <w:lvl w:ilvl="0">
      <w:start w:val="1"/>
      <w:numFmt w:val="bullet"/>
      <w:lvlText w:val=""/>
      <w:lvlJc w:val="left"/>
      <w:pStyle w:val="ListBullet3"/>
      <w:pPr>
        <w:ind w:left="1080" w:hanging="360"/>
        <w:tabs>
          <w:tab w:val="num" w:pos="1080"/>
        </w:tabs>
      </w:pPr>
      <w:rPr>
        <w:rFonts w:ascii="Symbol" w:hAnsi="Symbol" w:hint="default"/>
      </w:rPr>
    </w:lvl>
  </w:abstractNum>
  <w:abstractNum w:abstractNumId="3">
    <w:nsid w:val="ffffff88"/>
    <w:multiLevelType w:val="singleLevel"/>
    <w:tmpl w:val="d0a62b40"/>
    <w:lvl w:ilvl="0">
      <w:start w:val="1"/>
      <w:lvlText w:val="%1."/>
      <w:lvlJc w:val="left"/>
      <w:pStyle w:val="ListNumber"/>
      <w:pPr>
        <w:ind w:left="360" w:hanging="360"/>
        <w:tabs>
          <w:tab w:val="num" w:pos="360"/>
        </w:tabs>
      </w:pPr>
    </w:lvl>
  </w:abstractNum>
  <w:abstractNum w:abstractNumId="4">
    <w:nsid w:val="ffffff7f"/>
    <w:multiLevelType w:val="singleLevel"/>
    <w:tmpl w:val="38441652"/>
    <w:lvl w:ilvl="0">
      <w:start w:val="1"/>
      <w:lvlText w:val="%1."/>
      <w:lvlJc w:val="left"/>
      <w:pStyle w:val="ListNumber2"/>
      <w:pPr>
        <w:ind w:left="720" w:hanging="360"/>
        <w:tabs>
          <w:tab w:val="num" w:pos="720"/>
        </w:tabs>
      </w:pPr>
    </w:lvl>
  </w:abstractNum>
  <w:abstractNum w:abstractNumId="5">
    <w:nsid w:val="ffffff7e"/>
    <w:multiLevelType w:val="singleLevel"/>
    <w:tmpl w:val="fb12693a"/>
    <w:lvl w:ilvl="0">
      <w:start w:val="1"/>
      <w:lvlText w:val="%1."/>
      <w:lvlJc w:val="left"/>
      <w:pStyle w:val="ListNumber3"/>
      <w:pPr>
        <w:ind w:left="1080" w:hanging="360"/>
        <w:tabs>
          <w:tab w:val="num" w:pos="1080"/>
        </w:tabs>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ja-JP"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EastAsia"/>
        <w:sz w:val="22"/>
        <w:szCs w:val="22"/>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57"/>
    <w:lsdException w:name="toc 2" w:uiPriority="57"/>
    <w:lsdException w:name="toc 3" w:uiPriority="57"/>
    <w:lsdException w:name="toc 4" w:uiPriority="57"/>
    <w:lsdException w:name="toc 5" w:uiPriority="57"/>
    <w:lsdException w:name="toc 6" w:uiPriority="57"/>
    <w:lsdException w:name="toc 7" w:uiPriority="57"/>
    <w:lsdException w:name="toc 8" w:uiPriority="57"/>
    <w:lsdException w:name="toc 9" w:uiPriority="57"/>
    <w:lsdException w:name="caption" w:uiPriority="53" w:qFormat="1"/>
    <w:lsdException w:name="Title" w:semiHidden="0" w:uiPriority="16" w:unhideWhenUsed="0" w:qFormat="1"/>
    <w:lsdException w:name="Default Paragraph Font" w:uiPriority="1"/>
    <w:lsdException w:name="Subtitle" w:semiHidden="0" w:uiPriority="17" w:unhideWhenUsed="0" w:qFormat="1"/>
    <w:lsdException w:name="Strong" w:semiHidden="0" w:uiPriority="34" w:unhideWhenUsed="0" w:qFormat="1"/>
    <w:lsdException w:name="Emphasis" w:semiHidden="0" w:uiPriority="32" w:unhideWhenUsed="0" w:qFormat="1"/>
    <w:lsdException w:name="Table Grid" w:semiHidden="0" w:uiPriority="89" w:unhideWhenUsed="0"/>
    <w:lsdException w:name="Placeholder Text" w:unhideWhenUsed="0"/>
    <w:lsdException w:name="No Spacing" w:semiHidden="0" w:uiPriority="1" w:unhideWhenUsed="0" w:qFormat="1"/>
    <w:lsdException w:name="Light Shading" w:semiHidden="0" w:uiPriority="96" w:unhideWhenUsed="0"/>
    <w:lsdException w:name="Light List" w:semiHidden="0" w:uiPriority="97" w:unhideWhenUsed="0"/>
    <w:lsdException w:name="Light Grid" w:semiHidden="0" w:uiPriority="98" w:unhideWhenUsed="0"/>
    <w:lsdException w:name="Medium Shading 1" w:semiHidden="0" w:uiPriority="99" w:unhideWhenUsed="0"/>
    <w:lsdException w:name="Medium Shading 2" w:semiHidden="0" w:uiPriority="100" w:unhideWhenUsed="0"/>
    <w:lsdException w:name="Medium List 1" w:semiHidden="0" w:uiPriority="101" w:unhideWhenUsed="0"/>
    <w:lsdException w:name="Medium List 2" w:semiHidden="0" w:uiPriority="102" w:unhideWhenUsed="0"/>
    <w:lsdException w:name="Medium Grid 1" w:semiHidden="0" w:uiPriority="103" w:unhideWhenUsed="0"/>
    <w:lsdException w:name="Medium Grid 2" w:semiHidden="0" w:uiPriority="104" w:unhideWhenUsed="0"/>
    <w:lsdException w:name="Medium Grid 3" w:semiHidden="0" w:uiPriority="105" w:unhideWhenUsed="0"/>
    <w:lsdException w:name="Dark List" w:semiHidden="0" w:uiPriority="112" w:unhideWhenUsed="0"/>
    <w:lsdException w:name="Colorful Shading" w:semiHidden="0" w:uiPriority="113" w:unhideWhenUsed="0"/>
    <w:lsdException w:name="Colorful List" w:semiHidden="0" w:uiPriority="114" w:unhideWhenUsed="0"/>
    <w:lsdException w:name="Colorful Grid" w:semiHidden="0" w:uiPriority="115" w:unhideWhenUsed="0"/>
    <w:lsdException w:name="Light Shading Accent 1" w:semiHidden="0" w:uiPriority="96" w:unhideWhenUsed="0"/>
    <w:lsdException w:name="Light List Accent 1" w:semiHidden="0" w:uiPriority="97" w:unhideWhenUsed="0"/>
    <w:lsdException w:name="Light Grid Accent 1" w:semiHidden="0" w:uiPriority="98" w:unhideWhenUsed="0"/>
    <w:lsdException w:name="Medium Shading 1 Accent 1" w:semiHidden="0" w:uiPriority="99" w:unhideWhenUsed="0"/>
    <w:lsdException w:name="Medium Shading 2 Accent 1" w:semiHidden="0" w:uiPriority="100" w:unhideWhenUsed="0"/>
    <w:lsdException w:name="Medium List 1 Accent 1" w:semiHidden="0" w:uiPriority="101" w:unhideWhenUsed="0"/>
    <w:lsdException w:name="Revision" w:unhideWhenUsed="0"/>
    <w:lsdException w:name="List Paragraph" w:semiHidden="0" w:uiPriority="52" w:unhideWhenUsed="0" w:qFormat="1"/>
    <w:lsdException w:name="Quote" w:semiHidden="0" w:uiPriority="41" w:unhideWhenUsed="0" w:qFormat="1"/>
    <w:lsdException w:name="Intense Quote" w:semiHidden="0" w:uiPriority="48" w:unhideWhenUsed="0" w:qFormat="1"/>
    <w:lsdException w:name="Medium List 2 Accent 1" w:semiHidden="0" w:uiPriority="102" w:unhideWhenUsed="0"/>
    <w:lsdException w:name="Medium Grid 1 Accent 1" w:semiHidden="0" w:uiPriority="103" w:unhideWhenUsed="0"/>
    <w:lsdException w:name="Medium Grid 2 Accent 1" w:semiHidden="0" w:uiPriority="104" w:unhideWhenUsed="0"/>
    <w:lsdException w:name="Medium Grid 3 Accent 1" w:semiHidden="0" w:uiPriority="105" w:unhideWhenUsed="0"/>
    <w:lsdException w:name="Dark List Accent 1" w:semiHidden="0" w:uiPriority="112" w:unhideWhenUsed="0"/>
    <w:lsdException w:name="Colorful Shading Accent 1" w:semiHidden="0" w:uiPriority="113" w:unhideWhenUsed="0"/>
    <w:lsdException w:name="Colorful List Accent 1" w:semiHidden="0" w:uiPriority="114" w:unhideWhenUsed="0"/>
    <w:lsdException w:name="Colorful Grid Accent 1" w:semiHidden="0" w:uiPriority="115" w:unhideWhenUsed="0"/>
    <w:lsdException w:name="Light Shading Accent 2" w:semiHidden="0" w:uiPriority="96" w:unhideWhenUsed="0"/>
    <w:lsdException w:name="Light List Accent 2" w:semiHidden="0" w:uiPriority="97" w:unhideWhenUsed="0"/>
    <w:lsdException w:name="Light Grid Accent 2" w:semiHidden="0" w:uiPriority="98" w:unhideWhenUsed="0"/>
    <w:lsdException w:name="Medium Shading 1 Accent 2" w:semiHidden="0" w:uiPriority="99" w:unhideWhenUsed="0"/>
    <w:lsdException w:name="Medium Shading 2 Accent 2" w:semiHidden="0" w:uiPriority="100" w:unhideWhenUsed="0"/>
    <w:lsdException w:name="Medium List 1 Accent 2" w:semiHidden="0" w:uiPriority="101" w:unhideWhenUsed="0"/>
    <w:lsdException w:name="Medium List 2 Accent 2" w:semiHidden="0" w:uiPriority="102" w:unhideWhenUsed="0"/>
    <w:lsdException w:name="Medium Grid 1 Accent 2" w:semiHidden="0" w:uiPriority="103" w:unhideWhenUsed="0"/>
    <w:lsdException w:name="Medium Grid 2 Accent 2" w:semiHidden="0" w:uiPriority="104" w:unhideWhenUsed="0"/>
    <w:lsdException w:name="Medium Grid 3 Accent 2" w:semiHidden="0" w:uiPriority="105" w:unhideWhenUsed="0"/>
    <w:lsdException w:name="Dark List Accent 2" w:semiHidden="0" w:uiPriority="112" w:unhideWhenUsed="0"/>
    <w:lsdException w:name="Colorful Shading Accent 2" w:semiHidden="0" w:uiPriority="113" w:unhideWhenUsed="0"/>
    <w:lsdException w:name="Colorful List Accent 2" w:semiHidden="0" w:uiPriority="114" w:unhideWhenUsed="0"/>
    <w:lsdException w:name="Colorful Grid Accent 2" w:semiHidden="0" w:uiPriority="115" w:unhideWhenUsed="0"/>
    <w:lsdException w:name="Light Shading Accent 3" w:semiHidden="0" w:uiPriority="96" w:unhideWhenUsed="0"/>
    <w:lsdException w:name="Light List Accent 3" w:semiHidden="0" w:uiPriority="97" w:unhideWhenUsed="0"/>
    <w:lsdException w:name="Light Grid Accent 3" w:semiHidden="0" w:uiPriority="98" w:unhideWhenUsed="0"/>
    <w:lsdException w:name="Medium Shading 1 Accent 3" w:semiHidden="0" w:uiPriority="99" w:unhideWhenUsed="0"/>
    <w:lsdException w:name="Medium Shading 2 Accent 3" w:semiHidden="0" w:uiPriority="100" w:unhideWhenUsed="0"/>
    <w:lsdException w:name="Medium List 1 Accent 3" w:semiHidden="0" w:uiPriority="101" w:unhideWhenUsed="0"/>
    <w:lsdException w:name="Medium List 2 Accent 3" w:semiHidden="0" w:uiPriority="102" w:unhideWhenUsed="0"/>
    <w:lsdException w:name="Medium Grid 1 Accent 3" w:semiHidden="0" w:uiPriority="103" w:unhideWhenUsed="0"/>
    <w:lsdException w:name="Medium Grid 2 Accent 3" w:semiHidden="0" w:uiPriority="104" w:unhideWhenUsed="0"/>
    <w:lsdException w:name="Medium Grid 3 Accent 3" w:semiHidden="0" w:uiPriority="105" w:unhideWhenUsed="0"/>
    <w:lsdException w:name="Dark List Accent 3" w:semiHidden="0" w:uiPriority="112" w:unhideWhenUsed="0"/>
    <w:lsdException w:name="Colorful Shading Accent 3" w:semiHidden="0" w:uiPriority="113" w:unhideWhenUsed="0"/>
    <w:lsdException w:name="Colorful List Accent 3" w:semiHidden="0" w:uiPriority="114" w:unhideWhenUsed="0"/>
    <w:lsdException w:name="Colorful Grid Accent 3" w:semiHidden="0" w:uiPriority="115" w:unhideWhenUsed="0"/>
    <w:lsdException w:name="Light Shading Accent 4" w:semiHidden="0" w:uiPriority="96" w:unhideWhenUsed="0"/>
    <w:lsdException w:name="Light List Accent 4" w:semiHidden="0" w:uiPriority="97" w:unhideWhenUsed="0"/>
    <w:lsdException w:name="Light Grid Accent 4" w:semiHidden="0" w:uiPriority="98" w:unhideWhenUsed="0"/>
    <w:lsdException w:name="Medium Shading 1 Accent 4" w:semiHidden="0" w:uiPriority="99" w:unhideWhenUsed="0"/>
    <w:lsdException w:name="Medium Shading 2 Accent 4" w:semiHidden="0" w:uiPriority="100" w:unhideWhenUsed="0"/>
    <w:lsdException w:name="Medium List 1 Accent 4" w:semiHidden="0" w:uiPriority="101" w:unhideWhenUsed="0"/>
    <w:lsdException w:name="Medium List 2 Accent 4" w:semiHidden="0" w:uiPriority="102" w:unhideWhenUsed="0"/>
    <w:lsdException w:name="Medium Grid 1 Accent 4" w:semiHidden="0" w:uiPriority="103" w:unhideWhenUsed="0"/>
    <w:lsdException w:name="Medium Grid 2 Accent 4" w:semiHidden="0" w:uiPriority="104" w:unhideWhenUsed="0"/>
    <w:lsdException w:name="Medium Grid 3 Accent 4" w:semiHidden="0" w:uiPriority="105" w:unhideWhenUsed="0"/>
    <w:lsdException w:name="Dark List Accent 4" w:semiHidden="0" w:uiPriority="112" w:unhideWhenUsed="0"/>
    <w:lsdException w:name="Colorful Shading Accent 4" w:semiHidden="0" w:uiPriority="113" w:unhideWhenUsed="0"/>
    <w:lsdException w:name="Colorful List Accent 4" w:semiHidden="0" w:uiPriority="114" w:unhideWhenUsed="0"/>
    <w:lsdException w:name="Colorful Grid Accent 4" w:semiHidden="0" w:uiPriority="115" w:unhideWhenUsed="0"/>
    <w:lsdException w:name="Light Shading Accent 5" w:semiHidden="0" w:uiPriority="96" w:unhideWhenUsed="0"/>
    <w:lsdException w:name="Light List Accent 5" w:semiHidden="0" w:uiPriority="97" w:unhideWhenUsed="0"/>
    <w:lsdException w:name="Light Grid Accent 5" w:semiHidden="0" w:uiPriority="98" w:unhideWhenUsed="0"/>
    <w:lsdException w:name="Medium Shading 1 Accent 5" w:semiHidden="0" w:uiPriority="99" w:unhideWhenUsed="0"/>
    <w:lsdException w:name="Medium Shading 2 Accent 5" w:semiHidden="0" w:uiPriority="100" w:unhideWhenUsed="0"/>
    <w:lsdException w:name="Medium List 1 Accent 5" w:semiHidden="0" w:uiPriority="101" w:unhideWhenUsed="0"/>
    <w:lsdException w:name="Medium List 2 Accent 5" w:semiHidden="0" w:uiPriority="102" w:unhideWhenUsed="0"/>
    <w:lsdException w:name="Medium Grid 1 Accent 5" w:semiHidden="0" w:uiPriority="103" w:unhideWhenUsed="0"/>
    <w:lsdException w:name="Medium Grid 2 Accent 5" w:semiHidden="0" w:uiPriority="104" w:unhideWhenUsed="0"/>
    <w:lsdException w:name="Medium Grid 3 Accent 5" w:semiHidden="0" w:uiPriority="105" w:unhideWhenUsed="0"/>
    <w:lsdException w:name="Dark List Accent 5" w:semiHidden="0" w:uiPriority="112" w:unhideWhenUsed="0"/>
    <w:lsdException w:name="Colorful Shading Accent 5" w:semiHidden="0" w:uiPriority="113" w:unhideWhenUsed="0"/>
    <w:lsdException w:name="Colorful List Accent 5" w:semiHidden="0" w:uiPriority="114" w:unhideWhenUsed="0"/>
    <w:lsdException w:name="Colorful Grid Accent 5" w:semiHidden="0" w:uiPriority="115" w:unhideWhenUsed="0"/>
    <w:lsdException w:name="Light Shading Accent 6" w:semiHidden="0" w:uiPriority="96" w:unhideWhenUsed="0"/>
    <w:lsdException w:name="Light List Accent 6" w:semiHidden="0" w:uiPriority="97" w:unhideWhenUsed="0"/>
    <w:lsdException w:name="Light Grid Accent 6" w:semiHidden="0" w:uiPriority="98" w:unhideWhenUsed="0"/>
    <w:lsdException w:name="Medium Shading 1 Accent 6" w:semiHidden="0" w:uiPriority="99" w:unhideWhenUsed="0"/>
    <w:lsdException w:name="Medium Shading 2 Accent 6" w:semiHidden="0" w:uiPriority="100" w:unhideWhenUsed="0"/>
    <w:lsdException w:name="Medium List 1 Accent 6" w:semiHidden="0" w:uiPriority="101" w:unhideWhenUsed="0"/>
    <w:lsdException w:name="Medium List 2 Accent 6" w:semiHidden="0" w:uiPriority="102" w:unhideWhenUsed="0"/>
    <w:lsdException w:name="Medium Grid 1 Accent 6" w:semiHidden="0" w:uiPriority="103" w:unhideWhenUsed="0"/>
    <w:lsdException w:name="Medium Grid 2 Accent 6" w:semiHidden="0" w:uiPriority="104" w:unhideWhenUsed="0"/>
    <w:lsdException w:name="Medium Grid 3 Accent 6" w:semiHidden="0" w:uiPriority="105" w:unhideWhenUsed="0"/>
    <w:lsdException w:name="Dark List Accent 6" w:semiHidden="0" w:uiPriority="112" w:unhideWhenUsed="0"/>
    <w:lsdException w:name="Colorful Shading Accent 6" w:semiHidden="0" w:uiPriority="113" w:unhideWhenUsed="0"/>
    <w:lsdException w:name="Colorful List Accent 6" w:semiHidden="0" w:uiPriority="114" w:unhideWhenUsed="0"/>
    <w:lsdException w:name="Colorful Grid Accent 6" w:semiHidden="0" w:uiPriority="115" w:unhideWhenUsed="0"/>
    <w:lsdException w:name="Subtle Emphasis" w:semiHidden="0" w:uiPriority="25" w:unhideWhenUsed="0" w:qFormat="1"/>
    <w:lsdException w:name="Intense Emphasis" w:semiHidden="0" w:uiPriority="33" w:unhideWhenUsed="0" w:qFormat="1"/>
    <w:lsdException w:name="Subtle Reference" w:semiHidden="0" w:uiPriority="49" w:unhideWhenUsed="0" w:qFormat="1"/>
    <w:lsdException w:name="Intense Reference" w:semiHidden="0" w:uiPriority="50" w:unhideWhenUsed="0" w:qFormat="1"/>
    <w:lsdException w:name="Book Title" w:semiHidden="0" w:uiPriority="51" w:unhideWhenUsed="0" w:qFormat="1"/>
    <w:lsdException w:name="Bibliography" w:uiPriority="55"/>
    <w:lsdException w:name="TOC Heading" w:uiPriority="57" w:qFormat="1"/>
  </w:latentStyles>
  <w:style w:type="paragraph" w:default="1" w:styleId="Normal">
    <w:name w:val="Normal"/>
    <w:qFormat/>
    <w:pPr>
      <w:spacing w:after="60" w:line="341" w:lineRule="auto"/>
    </w:pPr>
    <w:rPr>
      <w:rFonts w:ascii="NanumMyeongjo" w:eastAsia="NanumMyeongjo" w:hAnsi="NanumMyeongjo"/>
      <w:sz w:val="20"/>
    </w:rPr>
  </w:style>
  <w:style w:type="paragraph" w:customStyle="1" w:styleId="Header">
    <w:name w:val="header"/>
    <w:uiPriority w:val="99"/>
    <w:basedOn w:val="Normal"/>
    <w:link w:val="HeaderChar"/>
    <w:unhideWhenUsed/>
    <w:pPr>
      <w:tabs>
        <w:tab w:val="center" w:pos="4680"/>
        <w:tab w:val="right" w:pos="9360"/>
      </w:tabs>
      <w:spacing w:after="0" w:line="240" w:lineRule="auto"/>
    </w:pPr>
  </w:style>
  <w:style w:type="character" w:customStyle="1" w:styleId="HeaderChar">
    <w:name w:val="Header Char"/>
    <w:uiPriority w:val="99"/>
    <w:basedOn w:val="DefaultParagraphFont"/>
    <w:link w:val="Header"/>
  </w:style>
  <w:style w:type="paragraph" w:customStyle="1" w:styleId="Footer">
    <w:name w:val="footer"/>
    <w:uiPriority w:val="99"/>
    <w:basedOn w:val="Normal"/>
    <w:link w:val="FooterChar"/>
    <w:unhideWhenUsed/>
    <w:pPr>
      <w:tabs>
        <w:tab w:val="center" w:pos="4680"/>
        <w:tab w:val="right" w:pos="9360"/>
      </w:tabs>
      <w:spacing w:after="0" w:line="240" w:lineRule="auto"/>
    </w:pPr>
  </w:style>
  <w:style w:type="character" w:customStyle="1" w:styleId="FooterChar">
    <w:name w:val="Footer Char"/>
    <w:uiPriority w:val="99"/>
    <w:basedOn w:val="DefaultParagraphFont"/>
    <w:link w:val="Footer"/>
  </w:style>
  <w:style w:type="paragraph" w:styleId="Heading1">
    <w:name w:val="heading 1"/>
    <w:uiPriority w:val="9"/>
    <w:basedOn w:val="Normal"/>
    <w:next w:val="Normal"/>
    <w:link w:val="Heading1Char"/>
    <w:qFormat/>
    <w:pPr>
      <w:keepNext/>
      <w:keepLines/>
      <w:outlineLvl w:val="0"/>
      <w:spacing w:after="0" w:before="480"/>
    </w:pPr>
    <w:rPr>
      <w:rFonts w:asciiTheme="majorHAnsi" w:eastAsiaTheme="majorHAnsi" w:hAnsiTheme="majorHAnsi" w:cstheme="majorEastAsia"/>
      <w:b/>
      <w:bCs/>
      <w:color w:val="376092"/>
      <w:sz w:val="28"/>
      <w:szCs w:val="28"/>
    </w:rPr>
  </w:style>
  <w:style w:type="paragraph" w:styleId="Heading2">
    <w:name w:val="heading 2"/>
    <w:uiPriority w:val="9"/>
    <w:basedOn w:val="Normal"/>
    <w:next w:val="Normal"/>
    <w:link w:val="Heading2Char"/>
    <w:qFormat/>
    <w:unhideWhenUsed/>
    <w:pPr>
      <w:keepNext/>
      <w:keepLines/>
      <w:outlineLvl w:val="1"/>
      <w:spacing w:after="0" w:before="200"/>
    </w:pPr>
    <w:rPr>
      <w:rFonts w:asciiTheme="majorHAnsi" w:eastAsiaTheme="majorHAnsi" w:hAnsiTheme="majorHAnsi" w:cstheme="majorEastAsia"/>
      <w:b/>
      <w:bCs/>
      <w:color w:val="4F81BD"/>
      <w:sz w:val="26"/>
      <w:szCs w:val="26"/>
    </w:rPr>
  </w:style>
  <w:style w:type="paragraph" w:styleId="Heading3">
    <w:name w:val="heading 3"/>
    <w:uiPriority w:val="9"/>
    <w:basedOn w:val="Normal"/>
    <w:next w:val="Normal"/>
    <w:link w:val="Heading3Char"/>
    <w:qFormat/>
    <w:unhideWhenUsed/>
    <w:pPr>
      <w:keepNext/>
      <w:keepLines/>
      <w:outlineLvl w:val="2"/>
      <w:spacing w:after="0" w:before="200"/>
    </w:pPr>
    <w:rPr>
      <w:rFonts w:asciiTheme="majorHAnsi" w:eastAsiaTheme="majorHAnsi" w:hAnsiTheme="majorHAnsi" w:cstheme="majorEastAsia"/>
      <w:b/>
      <w:bCs/>
      <w:color w:val="4F81BD"/>
    </w:rPr>
  </w:style>
  <w:style w:type="paragraph" w:styleId="Heading4">
    <w:name w:val="heading 4"/>
    <w:uiPriority w:val="9"/>
    <w:basedOn w:val="Normal"/>
    <w:next w:val="Normal"/>
    <w:link w:val="Heading4Char"/>
    <w:qFormat/>
    <w:semiHidden/>
    <w:unhideWhenUsed/>
    <w:pPr>
      <w:keepNext/>
      <w:keepLines/>
      <w:outlineLvl w:val="3"/>
      <w:spacing w:after="0" w:before="200"/>
    </w:pPr>
    <w:rPr>
      <w:rFonts w:asciiTheme="majorHAnsi" w:eastAsiaTheme="majorHAnsi" w:hAnsiTheme="majorHAnsi" w:cstheme="majorEastAsia"/>
      <w:b/>
      <w:bCs/>
      <w:i/>
      <w:iCs/>
      <w:color w:val="4F81BD"/>
    </w:rPr>
  </w:style>
  <w:style w:type="paragraph" w:styleId="Heading5">
    <w:name w:val="heading 5"/>
    <w:uiPriority w:val="9"/>
    <w:basedOn w:val="Normal"/>
    <w:next w:val="Normal"/>
    <w:link w:val="Heading5Char"/>
    <w:qFormat/>
    <w:semiHidden/>
    <w:unhideWhenUsed/>
    <w:pPr>
      <w:keepNext/>
      <w:keepLines/>
      <w:outlineLvl w:val="4"/>
      <w:spacing w:after="0" w:before="200"/>
    </w:pPr>
    <w:rPr>
      <w:rFonts w:asciiTheme="majorHAnsi" w:eastAsiaTheme="majorHAnsi" w:hAnsiTheme="majorHAnsi" w:cstheme="majorEastAsia"/>
      <w:color w:val="244061"/>
    </w:rPr>
  </w:style>
  <w:style w:type="paragraph" w:styleId="Heading6">
    <w:name w:val="heading 6"/>
    <w:uiPriority w:val="9"/>
    <w:basedOn w:val="Normal"/>
    <w:next w:val="Normal"/>
    <w:link w:val="Heading6Char"/>
    <w:qFormat/>
    <w:semiHidden/>
    <w:unhideWhenUsed/>
    <w:pPr>
      <w:keepNext/>
      <w:keepLines/>
      <w:outlineLvl w:val="5"/>
      <w:spacing w:after="0" w:before="200"/>
    </w:pPr>
    <w:rPr>
      <w:rFonts w:asciiTheme="majorHAnsi" w:eastAsiaTheme="majorHAnsi" w:hAnsiTheme="majorHAnsi" w:cstheme="majorEastAsia"/>
      <w:i/>
      <w:iCs/>
      <w:color w:val="244061"/>
    </w:rPr>
  </w:style>
  <w:style w:type="paragraph" w:styleId="Heading7">
    <w:name w:val="heading 7"/>
    <w:uiPriority w:val="9"/>
    <w:basedOn w:val="Normal"/>
    <w:next w:val="Normal"/>
    <w:link w:val="Heading7Char"/>
    <w:qFormat/>
    <w:semiHidden/>
    <w:unhideWhenUsed/>
    <w:pPr>
      <w:keepNext/>
      <w:keepLines/>
      <w:outlineLvl w:val="6"/>
      <w:spacing w:after="0" w:before="200"/>
    </w:pPr>
    <w:rPr>
      <w:rFonts w:asciiTheme="majorHAnsi" w:eastAsiaTheme="majorHAnsi" w:hAnsiTheme="majorHAnsi" w:cstheme="majorEastAsia"/>
      <w:i/>
      <w:iCs/>
      <w:color w:val="8C8C8C"/>
    </w:rPr>
  </w:style>
  <w:style w:type="paragraph" w:styleId="Heading8">
    <w:name w:val="heading 8"/>
    <w:uiPriority w:val="9"/>
    <w:basedOn w:val="Normal"/>
    <w:next w:val="Normal"/>
    <w:link w:val="Heading8Char"/>
    <w:qFormat/>
    <w:semiHidden/>
    <w:unhideWhenUsed/>
    <w:pPr>
      <w:keepNext/>
      <w:keepLines/>
      <w:outlineLvl w:val="7"/>
      <w:spacing w:after="0" w:before="200"/>
    </w:pPr>
    <w:rPr>
      <w:rFonts w:asciiTheme="majorHAnsi" w:eastAsiaTheme="majorHAnsi" w:hAnsiTheme="majorHAnsi" w:cstheme="majorEastAsia"/>
      <w:color w:val="4F81BD"/>
      <w:sz w:val="20"/>
      <w:szCs w:val="20"/>
    </w:rPr>
  </w:style>
  <w:style w:type="paragraph" w:styleId="Heading9">
    <w:name w:val="heading 9"/>
    <w:uiPriority w:val="9"/>
    <w:basedOn w:val="Normal"/>
    <w:next w:val="Normal"/>
    <w:link w:val="Heading9Char"/>
    <w:qFormat/>
    <w:semiHidden/>
    <w:unhideWhenUsed/>
    <w:pPr>
      <w:keepNext/>
      <w:keepLines/>
      <w:outlineLvl w:val="8"/>
      <w:spacing w:after="0" w:before="200"/>
    </w:pPr>
    <w:rPr>
      <w:rFonts w:asciiTheme="majorHAnsi" w:eastAsiaTheme="majorHAnsi" w:hAnsiTheme="majorHAnsi" w:cstheme="majorEastAsia"/>
      <w:i/>
      <w:iCs/>
      <w:color w:val="8C8C8C"/>
      <w:sz w:val="20"/>
      <w:szCs w:val="20"/>
    </w:rPr>
  </w:style>
  <w:style w:type="character" w:default="1" w:styleId="DefaultParagraphFont">
    <w:name w:val="Default Paragraph Font"/>
    <w:uiPriority w:val="1"/>
    <w:semiHidden/>
    <w:unhideWhenUsed/>
  </w:style>
  <w:style w:type="table" w:customStyle="1" w:styleId="TableNormal">
    <w:name w:val="Normal Table"/>
    <w:uiPriority w:val="99"/>
    <w:semiHidden/>
    <w:unhideWhenUsed/>
    <w:tblPr>
      <w:tblInd w:w="0" w:type="dxa"/>
      <w:tblCellMar>
        <w:top w:w="0" w:type="dxa"/>
        <w:left w:w="108" w:type="dxa"/>
        <w:bottom w:w="0" w:type="dxa"/>
        <w:right w:w="108" w:type="dxa"/>
      </w:tblCellMar>
    </w:tblPr>
  </w:style>
  <w:style w:type="numbering" w:customStyle="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uiPriority w:val="9"/>
    <w:basedOn w:val="DefaultParagraphFont"/>
    <w:link w:val="Heading1"/>
    <w:rPr>
      <w:rFonts w:asciiTheme="majorHAnsi" w:eastAsiaTheme="majorHAnsi" w:hAnsiTheme="majorHAnsi" w:cstheme="majorEastAsia"/>
      <w:b/>
      <w:bCs/>
      <w:color w:val="376092"/>
      <w:sz w:val="28"/>
      <w:szCs w:val="28"/>
    </w:rPr>
  </w:style>
  <w:style w:type="character" w:customStyle="1" w:styleId="Heading2Char">
    <w:name w:val="Heading 2 Char"/>
    <w:uiPriority w:val="9"/>
    <w:basedOn w:val="DefaultParagraphFont"/>
    <w:link w:val="Heading2"/>
    <w:rPr>
      <w:rFonts w:asciiTheme="majorHAnsi" w:eastAsiaTheme="majorHAnsi" w:hAnsiTheme="majorHAnsi" w:cstheme="majorEastAsia"/>
      <w:b/>
      <w:bCs/>
      <w:color w:val="4F81BD"/>
      <w:sz w:val="26"/>
      <w:szCs w:val="26"/>
    </w:rPr>
  </w:style>
  <w:style w:type="character" w:customStyle="1" w:styleId="Heading3Char">
    <w:name w:val="Heading 3 Char"/>
    <w:uiPriority w:val="9"/>
    <w:basedOn w:val="DefaultParagraphFont"/>
    <w:link w:val="Heading3"/>
    <w:rPr>
      <w:rFonts w:asciiTheme="majorHAnsi" w:eastAsiaTheme="majorHAnsi" w:hAnsiTheme="majorHAnsi" w:cstheme="majorEastAsia"/>
      <w:b/>
      <w:bCs/>
      <w:color w:val="4F81BD"/>
    </w:rPr>
  </w:style>
  <w:style w:type="paragraph" w:styleId="Title">
    <w:name w:val="Title"/>
    <w:uiPriority w:val="10"/>
    <w:basedOn w:val="Normal"/>
    <w:next w:val="Normal"/>
    <w:link w:val="TitleChar"/>
    <w:qFormat/>
    <w:pPr>
      <w:contextualSpacing/>
      <w:pBdr>
        <w:bottom w:val="single" w:sz="8" w:space="4" w:color="4F81BD" w:themeColor="accent1"/>
      </w:pBdr>
      <w:spacing w:after="300" w:line="240" w:lineRule="auto"/>
    </w:pPr>
    <w:rPr>
      <w:rFonts w:asciiTheme="majorHAnsi" w:eastAsiaTheme="majorHAnsi" w:hAnsiTheme="majorHAnsi" w:cstheme="majorEastAsia"/>
      <w:color w:val="17375E"/>
      <w:sz w:val="52"/>
      <w:szCs w:val="52"/>
      <w:kern w:val="28"/>
      <w:spacing w:val="5"/>
    </w:rPr>
  </w:style>
  <w:style w:type="character" w:customStyle="1" w:styleId="TitleChar">
    <w:name w:val="Title Char"/>
    <w:uiPriority w:val="10"/>
    <w:basedOn w:val="DefaultParagraphFont"/>
    <w:link w:val="Title"/>
    <w:rPr>
      <w:rFonts w:asciiTheme="majorHAnsi" w:eastAsiaTheme="majorHAnsi" w:hAnsiTheme="majorHAnsi" w:cstheme="majorEastAsia"/>
      <w:color w:val="17375E"/>
      <w:sz w:val="52"/>
      <w:szCs w:val="52"/>
      <w:kern w:val="28"/>
      <w:spacing w:val="5"/>
    </w:rPr>
  </w:style>
  <w:style w:type="paragraph" w:styleId="Subtitle">
    <w:name w:val="Subtitle"/>
    <w:uiPriority w:val="11"/>
    <w:basedOn w:val="Normal"/>
    <w:next w:val="Normal"/>
    <w:link w:val="SubtitleChar"/>
    <w:qFormat/>
    <w:pPr>
      <w:numPr>
        <w:ilvl w:val="1"/>
      </w:numPr>
    </w:pPr>
    <w:rPr>
      <w:rFonts w:asciiTheme="majorHAnsi" w:eastAsiaTheme="majorHAnsi" w:hAnsiTheme="majorHAnsi" w:cstheme="majorEastAsia"/>
      <w:i/>
      <w:iCs/>
      <w:color w:val="4F81BD"/>
      <w:sz w:val="24"/>
      <w:szCs w:val="24"/>
      <w:spacing w:val="15"/>
    </w:rPr>
  </w:style>
  <w:style w:type="character" w:customStyle="1" w:styleId="SubtitleChar">
    <w:name w:val="Subtitle Char"/>
    <w:uiPriority w:val="11"/>
    <w:basedOn w:val="DefaultParagraphFont"/>
    <w:link w:val="Subtitle"/>
    <w:rPr>
      <w:rFonts w:asciiTheme="majorHAnsi" w:eastAsiaTheme="majorHAnsi" w:hAnsiTheme="majorHAnsi" w:cstheme="majorEastAsia"/>
      <w:i/>
      <w:iCs/>
      <w:color w:val="4F81BD"/>
      <w:sz w:val="24"/>
      <w:szCs w:val="24"/>
      <w:spacing w:val="15"/>
    </w:rPr>
  </w:style>
  <w:style w:type="paragraph" w:styleId="ListParagraph">
    <w:name w:val="List Paragraph"/>
    <w:uiPriority w:val="34"/>
    <w:basedOn w:val="Normal"/>
    <w:qFormat/>
    <w:pPr>
      <w:ind w:left="720"/>
      <w:contextualSpacing/>
    </w:pPr>
  </w:style>
  <w:style w:type="paragraph" w:customStyle="1" w:styleId="BodyText">
    <w:name w:val="Body Text"/>
    <w:uiPriority w:val="99"/>
    <w:basedOn w:val="Normal"/>
    <w:link w:val="BodyTextChar"/>
    <w:unhideWhenUsed/>
    <w:pPr>
      <w:spacing w:after="120"/>
    </w:pPr>
  </w:style>
  <w:style w:type="character" w:customStyle="1" w:styleId="BodyTextChar">
    <w:name w:val="Body Text Char"/>
    <w:uiPriority w:val="99"/>
    <w:basedOn w:val="DefaultParagraphFont"/>
    <w:link w:val="BodyText"/>
  </w:style>
  <w:style w:type="paragraph" w:customStyle="1" w:styleId="BodyText2">
    <w:name w:val="Body Text 2"/>
    <w:uiPriority w:val="99"/>
    <w:basedOn w:val="Normal"/>
    <w:link w:val="BodyText2Char"/>
    <w:unhideWhenUsed/>
    <w:pPr>
      <w:spacing w:after="120" w:line="480" w:lineRule="auto"/>
    </w:pPr>
  </w:style>
  <w:style w:type="character" w:customStyle="1" w:styleId="BodyText2Char">
    <w:name w:val="Body Text 2 Char"/>
    <w:uiPriority w:val="99"/>
    <w:basedOn w:val="DefaultParagraphFont"/>
    <w:link w:val="BodyText2"/>
  </w:style>
  <w:style w:type="paragraph" w:customStyle="1" w:styleId="BodyText3">
    <w:name w:val="Body Text 3"/>
    <w:uiPriority w:val="99"/>
    <w:basedOn w:val="Normal"/>
    <w:link w:val="BodyText3Char"/>
    <w:unhideWhenUsed/>
    <w:pPr>
      <w:spacing w:after="120"/>
    </w:pPr>
    <w:rPr>
      <w:sz w:val="16"/>
      <w:szCs w:val="16"/>
    </w:rPr>
  </w:style>
  <w:style w:type="character" w:customStyle="1" w:styleId="BodyText3Char">
    <w:name w:val="Body Text 3 Char"/>
    <w:uiPriority w:val="99"/>
    <w:basedOn w:val="DefaultParagraphFont"/>
    <w:link w:val="BodyText3"/>
    <w:rPr>
      <w:sz w:val="16"/>
      <w:szCs w:val="16"/>
    </w:rPr>
  </w:style>
  <w:style w:type="paragraph" w:customStyle="1" w:styleId="List">
    <w:name w:val="List"/>
    <w:uiPriority w:val="99"/>
    <w:basedOn w:val="Normal"/>
    <w:unhideWhenUsed/>
    <w:pPr>
      <w:ind w:left="360" w:hanging="360"/>
      <w:contextualSpacing/>
    </w:pPr>
  </w:style>
  <w:style w:type="paragraph" w:customStyle="1" w:styleId="List2">
    <w:name w:val="List 2"/>
    <w:uiPriority w:val="99"/>
    <w:basedOn w:val="Normal"/>
    <w:unhideWhenUsed/>
    <w:pPr>
      <w:ind w:left="720" w:hanging="360"/>
      <w:contextualSpacing/>
    </w:pPr>
  </w:style>
  <w:style w:type="paragraph" w:customStyle="1" w:styleId="List3">
    <w:name w:val="List 3"/>
    <w:uiPriority w:val="99"/>
    <w:basedOn w:val="Normal"/>
    <w:unhideWhenUsed/>
    <w:pPr>
      <w:ind w:left="1080" w:hanging="360"/>
      <w:contextualSpacing/>
    </w:pPr>
  </w:style>
  <w:style w:type="paragraph" w:customStyle="1" w:styleId="ListBullet">
    <w:name w:val="List Bullet"/>
    <w:uiPriority w:val="99"/>
    <w:basedOn w:val="Normal"/>
    <w:unhideWhenUsed/>
    <w:pPr>
      <w:contextualSpacing/>
      <w:numPr>
        <w:numId w:val="1"/>
      </w:numPr>
    </w:pPr>
  </w:style>
  <w:style w:type="paragraph" w:customStyle="1" w:styleId="ListBullet2">
    <w:name w:val="List Bullet 2"/>
    <w:uiPriority w:val="99"/>
    <w:basedOn w:val="Normal"/>
    <w:unhideWhenUsed/>
    <w:pPr>
      <w:contextualSpacing/>
      <w:numPr>
        <w:numId w:val="2"/>
      </w:numPr>
    </w:pPr>
  </w:style>
  <w:style w:type="paragraph" w:customStyle="1" w:styleId="ListBullet3">
    <w:name w:val="List Bullet 3"/>
    <w:uiPriority w:val="99"/>
    <w:basedOn w:val="Normal"/>
    <w:unhideWhenUsed/>
    <w:pPr>
      <w:contextualSpacing/>
      <w:numPr>
        <w:numId w:val="3"/>
      </w:numPr>
    </w:pPr>
  </w:style>
  <w:style w:type="paragraph" w:customStyle="1" w:styleId="ListNumber">
    <w:name w:val="List Number"/>
    <w:uiPriority w:val="99"/>
    <w:basedOn w:val="Normal"/>
    <w:unhideWhenUsed/>
    <w:pPr>
      <w:contextualSpacing/>
      <w:numPr>
        <w:numId w:val="4"/>
      </w:numPr>
    </w:pPr>
  </w:style>
  <w:style w:type="paragraph" w:customStyle="1" w:styleId="ListNumber2">
    <w:name w:val="List Number 2"/>
    <w:uiPriority w:val="99"/>
    <w:basedOn w:val="Normal"/>
    <w:unhideWhenUsed/>
    <w:pPr>
      <w:contextualSpacing/>
      <w:numPr>
        <w:numId w:val="5"/>
      </w:numPr>
    </w:pPr>
  </w:style>
  <w:style w:type="paragraph" w:customStyle="1" w:styleId="ListNumber3">
    <w:name w:val="List Number 3"/>
    <w:uiPriority w:val="99"/>
    <w:basedOn w:val="Normal"/>
    <w:unhideWhenUsed/>
    <w:pPr>
      <w:contextualSpacing/>
      <w:numPr>
        <w:numId w:val="6"/>
      </w:numPr>
    </w:pPr>
  </w:style>
  <w:style w:type="paragraph" w:customStyle="1" w:styleId="ListContinue">
    <w:name w:val="List Continue"/>
    <w:uiPriority w:val="99"/>
    <w:basedOn w:val="Normal"/>
    <w:unhideWhenUsed/>
    <w:pPr>
      <w:ind w:left="360"/>
      <w:contextualSpacing/>
      <w:spacing w:after="120"/>
    </w:pPr>
  </w:style>
  <w:style w:type="paragraph" w:customStyle="1" w:styleId="ListContinue2">
    <w:name w:val="List Continue 2"/>
    <w:uiPriority w:val="99"/>
    <w:basedOn w:val="Normal"/>
    <w:unhideWhenUsed/>
    <w:pPr>
      <w:ind w:left="720"/>
      <w:contextualSpacing/>
      <w:spacing w:after="120"/>
    </w:pPr>
  </w:style>
  <w:style w:type="paragraph" w:customStyle="1" w:styleId="ListContinue3">
    <w:name w:val="List Continue 3"/>
    <w:uiPriority w:val="99"/>
    <w:basedOn w:val="Normal"/>
    <w:unhideWhenUsed/>
    <w:pPr>
      <w:ind w:left="1080"/>
      <w:contextualSpacing/>
      <w:spacing w:after="120"/>
    </w:pPr>
  </w:style>
  <w:style w:type="paragraph" w:customStyle="1" w:styleId="MacroText">
    <w:name w:val="macro"/>
    <w:uiPriority w:val="99"/>
    <w:link w:val="MacroTextChar"/>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uiPriority w:val="99"/>
    <w:basedOn w:val="DefaultParagraphFont"/>
    <w:link w:val="MacroText"/>
    <w:rPr>
      <w:rFonts w:ascii="Courier" w:hAnsi="Courier"/>
      <w:sz w:val="20"/>
      <w:szCs w:val="20"/>
    </w:rPr>
  </w:style>
  <w:style w:type="paragraph" w:styleId="Quote">
    <w:name w:val="Quote"/>
    <w:uiPriority w:val="29"/>
    <w:basedOn w:val="Normal"/>
    <w:next w:val="Normal"/>
    <w:link w:val="QuoteChar"/>
    <w:qFormat/>
    <w:rPr>
      <w:i/>
      <w:iCs/>
      <w:color w:val="000000"/>
    </w:rPr>
  </w:style>
  <w:style w:type="character" w:customStyle="1" w:styleId="QuoteChar">
    <w:name w:val="Quote Char"/>
    <w:uiPriority w:val="29"/>
    <w:basedOn w:val="DefaultParagraphFont"/>
    <w:link w:val="Quote"/>
    <w:rPr>
      <w:i/>
      <w:iCs/>
      <w:color w:val="000000"/>
    </w:rPr>
  </w:style>
  <w:style w:type="character" w:customStyle="1" w:styleId="Heading4Char">
    <w:name w:val="Heading 4 Char"/>
    <w:uiPriority w:val="9"/>
    <w:basedOn w:val="DefaultParagraphFont"/>
    <w:link w:val="Heading4"/>
    <w:semiHidden/>
    <w:rPr>
      <w:rFonts w:asciiTheme="majorHAnsi" w:eastAsiaTheme="majorHAnsi" w:hAnsiTheme="majorHAnsi" w:cstheme="majorEastAsia"/>
      <w:b/>
      <w:bCs/>
      <w:i/>
      <w:iCs/>
      <w:color w:val="4F81BD"/>
    </w:rPr>
  </w:style>
  <w:style w:type="character" w:customStyle="1" w:styleId="Heading5Char">
    <w:name w:val="Heading 5 Char"/>
    <w:uiPriority w:val="9"/>
    <w:basedOn w:val="DefaultParagraphFont"/>
    <w:link w:val="Heading5"/>
    <w:semiHidden/>
    <w:rPr>
      <w:rFonts w:asciiTheme="majorHAnsi" w:eastAsiaTheme="majorHAnsi" w:hAnsiTheme="majorHAnsi" w:cstheme="majorEastAsia"/>
      <w:color w:val="244061"/>
    </w:rPr>
  </w:style>
  <w:style w:type="character" w:customStyle="1" w:styleId="Heading6Char">
    <w:name w:val="Heading 6 Char"/>
    <w:uiPriority w:val="9"/>
    <w:basedOn w:val="DefaultParagraphFont"/>
    <w:link w:val="Heading6"/>
    <w:semiHidden/>
    <w:rPr>
      <w:rFonts w:asciiTheme="majorHAnsi" w:eastAsiaTheme="majorHAnsi" w:hAnsiTheme="majorHAnsi" w:cstheme="majorEastAsia"/>
      <w:i/>
      <w:iCs/>
      <w:color w:val="244061"/>
    </w:rPr>
  </w:style>
  <w:style w:type="character" w:customStyle="1" w:styleId="Heading7Char">
    <w:name w:val="Heading 7 Char"/>
    <w:uiPriority w:val="9"/>
    <w:basedOn w:val="DefaultParagraphFont"/>
    <w:link w:val="Heading7"/>
    <w:semiHidden/>
    <w:rPr>
      <w:rFonts w:asciiTheme="majorHAnsi" w:eastAsiaTheme="majorHAnsi" w:hAnsiTheme="majorHAnsi" w:cstheme="majorEastAsia"/>
      <w:i/>
      <w:iCs/>
      <w:color w:val="8C8C8C"/>
    </w:rPr>
  </w:style>
  <w:style w:type="character" w:customStyle="1" w:styleId="Heading8Char">
    <w:name w:val="Heading 8 Char"/>
    <w:uiPriority w:val="9"/>
    <w:basedOn w:val="DefaultParagraphFont"/>
    <w:link w:val="Heading8"/>
    <w:semiHidden/>
    <w:rPr>
      <w:rFonts w:asciiTheme="majorHAnsi" w:eastAsiaTheme="majorHAnsi" w:hAnsiTheme="majorHAnsi" w:cstheme="majorEastAsia"/>
      <w:color w:val="4F81BD"/>
      <w:sz w:val="20"/>
      <w:szCs w:val="20"/>
    </w:rPr>
  </w:style>
  <w:style w:type="character" w:customStyle="1" w:styleId="Heading9Char">
    <w:name w:val="Heading 9 Char"/>
    <w:uiPriority w:val="9"/>
    <w:basedOn w:val="DefaultParagraphFont"/>
    <w:link w:val="Heading9"/>
    <w:semiHidden/>
    <w:rPr>
      <w:rFonts w:asciiTheme="majorHAnsi" w:eastAsiaTheme="majorHAnsi" w:hAnsiTheme="majorHAnsi" w:cstheme="majorEastAsia"/>
      <w:i/>
      <w:iCs/>
      <w:color w:val="8C8C8C"/>
      <w:sz w:val="20"/>
      <w:szCs w:val="20"/>
    </w:rPr>
  </w:style>
  <w:style w:type="paragraph" w:styleId="Caption">
    <w:name w:val="caption"/>
    <w:uiPriority w:val="35"/>
    <w:basedOn w:val="Normal"/>
    <w:next w:val="Normal"/>
    <w:qFormat/>
    <w:semiHidden/>
    <w:unhideWhenUsed/>
    <w:pPr>
      <w:spacing w:line="240" w:lineRule="auto"/>
    </w:pPr>
    <w:rPr>
      <w:b/>
      <w:bCs/>
      <w:color w:val="4F81BD"/>
      <w:sz w:val="18"/>
      <w:szCs w:val="18"/>
    </w:rPr>
  </w:style>
  <w:style w:type="character" w:styleId="Strong">
    <w:name w:val="Strong"/>
    <w:uiPriority w:val="22"/>
    <w:basedOn w:val="DefaultParagraphFont"/>
    <w:qFormat/>
    <w:rPr>
      <w:b/>
      <w:bCs/>
    </w:rPr>
  </w:style>
  <w:style w:type="character" w:styleId="Emphasis">
    <w:name w:val="Emphasis"/>
    <w:uiPriority w:val="20"/>
    <w:basedOn w:val="DefaultParagraphFont"/>
    <w:qFormat/>
    <w:rPr>
      <w:i/>
      <w:iCs/>
    </w:rPr>
  </w:style>
  <w:style w:type="paragraph" w:styleId="IntenseQuote">
    <w:name w:val="Intense Quote"/>
    <w:uiPriority w:val="30"/>
    <w:basedOn w:val="Normal"/>
    <w:next w:val="Normal"/>
    <w:link w:val="IntenseQuoteChar"/>
    <w:qFormat/>
    <w:pPr>
      <w:ind w:left="936" w:right="936"/>
      <w:pBdr>
        <w:bottom w:val="single" w:sz="4" w:space="4" w:color="4F81BD" w:themeColor="accent1"/>
      </w:pBdr>
      <w:spacing w:after="280" w:before="200"/>
    </w:pPr>
    <w:rPr>
      <w:b/>
      <w:bCs/>
      <w:i/>
      <w:iCs/>
      <w:color w:val="4F81BD"/>
    </w:rPr>
  </w:style>
  <w:style w:type="character" w:customStyle="1" w:styleId="IntenseQuoteChar">
    <w:name w:val="Intense Quote Char"/>
    <w:uiPriority w:val="30"/>
    <w:basedOn w:val="DefaultParagraphFont"/>
    <w:link w:val="IntenseQuote"/>
    <w:rPr>
      <w:b/>
      <w:bCs/>
      <w:i/>
      <w:iCs/>
      <w:color w:val="4F81BD"/>
    </w:rPr>
  </w:style>
  <w:style w:type="character" w:styleId="SubtleEmphasis">
    <w:name w:val="Subtle Emphasis"/>
    <w:uiPriority w:val="19"/>
    <w:basedOn w:val="DefaultParagraphFont"/>
    <w:qFormat/>
    <w:rPr>
      <w:i/>
      <w:iCs/>
      <w:color w:val="BDBDBD"/>
    </w:rPr>
  </w:style>
  <w:style w:type="character" w:styleId="IntenseEmphasis">
    <w:name w:val="Intense Emphasis"/>
    <w:uiPriority w:val="21"/>
    <w:basedOn w:val="DefaultParagraphFont"/>
    <w:qFormat/>
    <w:rPr>
      <w:b/>
      <w:bCs/>
      <w:i/>
      <w:iCs/>
      <w:color w:val="4F81BD"/>
    </w:rPr>
  </w:style>
  <w:style w:type="character" w:styleId="SubtleReference">
    <w:name w:val="Subtle Reference"/>
    <w:uiPriority w:val="31"/>
    <w:basedOn w:val="DefaultParagraphFont"/>
    <w:qFormat/>
    <w:rPr>
      <w:smallCaps/>
      <w:color w:val="C0504D"/>
      <w:u w:val="single" w:color="auto"/>
    </w:rPr>
  </w:style>
  <w:style w:type="character" w:styleId="IntenseReference">
    <w:name w:val="Intense Reference"/>
    <w:uiPriority w:val="32"/>
    <w:basedOn w:val="DefaultParagraphFont"/>
    <w:qFormat/>
    <w:rPr>
      <w:b/>
      <w:bCs/>
      <w:smallCaps/>
      <w:color w:val="C0504D"/>
      <w:u w:val="single" w:color="auto"/>
      <w:spacing w:val="5"/>
    </w:rPr>
  </w:style>
  <w:style w:type="character" w:styleId="BookTitle">
    <w:name w:val="Book Title"/>
    <w:uiPriority w:val="33"/>
    <w:basedOn w:val="DefaultParagraphFont"/>
    <w:qFormat/>
    <w:rPr>
      <w:b/>
      <w:bCs/>
      <w:smallCaps/>
      <w:spacing w:val="5"/>
    </w:rPr>
  </w:style>
  <w:style w:type="paragraph" w:styleId="TOCHeading">
    <w:name w:val="TOC Heading"/>
    <w:uiPriority w:val="39"/>
    <w:basedOn w:val="Heading1"/>
    <w:next w:val="Normal"/>
    <w:qFormat/>
    <w:semiHidden/>
    <w:unhideWhenUsed/>
    <w:pPr>
      <w:outlineLvl w:val="9"/>
    </w:pPr>
  </w:style>
  <w:style w:type="table" w:styleId="TableGrid">
    <w:name w:val="Table Grid"/>
    <w:uiPriority w:val="59"/>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uiPriority w:val="60"/>
    <w:basedOn w:val="TableNormal"/>
    <w:pPr>
      <w:spacing w:after="0" w:line="240" w:lineRule="auto"/>
    </w:pPr>
    <w:rPr>
      <w:color w:val="000000"/>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after="0" w:before="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1" w:themeFill="text1" w:themeFillTint="3f"/>
      </w:tcPr>
    </w:tblStylePr>
    <w:tblStylePr w:type="band1Horz">
      <w:tblPr/>
      <w:tcPr>
        <w:tcBorders>
          <w:left w:val="nil"/>
          <w:right w:val="nil"/>
          <w:insideH w:val="nil"/>
          <w:insideV w:val="nil"/>
        </w:tcBorders>
        <w:shd w:val="clear" w:color="auto" w:fill="E1E1E1" w:themeFill="text1" w:themeFillTint="3f"/>
      </w:tcPr>
    </w:tblStylePr>
  </w:style>
  <w:style w:type="table" w:styleId="LightShading-Accent1">
    <w:name w:val="Light Shading Accent 1"/>
    <w:uiPriority w:val="60"/>
    <w:basedOn w:val="TableNormal"/>
    <w:pPr>
      <w:spacing w:after="0" w:line="240" w:lineRule="auto"/>
    </w:pPr>
    <w:rPr>
      <w:color w:val="376092"/>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after="0" w:before="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8F1" w:themeFill="accent1" w:themeFillTint="3f"/>
      </w:tcPr>
    </w:tblStylePr>
    <w:tblStylePr w:type="band1Horz">
      <w:tblPr/>
      <w:tcPr>
        <w:tcBorders>
          <w:left w:val="nil"/>
          <w:right w:val="nil"/>
          <w:insideH w:val="nil"/>
          <w:insideV w:val="nil"/>
        </w:tcBorders>
        <w:shd w:val="clear" w:color="auto" w:fill="E4E8F1" w:themeFill="accent1" w:themeFillTint="3f"/>
      </w:tcPr>
    </w:tblStylePr>
  </w:style>
  <w:style w:type="table" w:styleId="LightShading-Accent2">
    <w:name w:val="Light Shading Accent 2"/>
    <w:uiPriority w:val="60"/>
    <w:basedOn w:val="TableNormal"/>
    <w:pPr>
      <w:spacing w:after="0" w:line="240" w:lineRule="auto"/>
    </w:pPr>
    <w:rPr>
      <w:color w:val="953735"/>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after="0" w:before="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4E3" w:themeFill="accent2" w:themeFillTint="3f"/>
      </w:tcPr>
    </w:tblStylePr>
    <w:tblStylePr w:type="band1Horz">
      <w:tblPr/>
      <w:tcPr>
        <w:tcBorders>
          <w:left w:val="nil"/>
          <w:right w:val="nil"/>
          <w:insideH w:val="nil"/>
          <w:insideV w:val="nil"/>
        </w:tcBorders>
        <w:shd w:val="clear" w:color="auto" w:fill="F1E4E3" w:themeFill="accent2" w:themeFillTint="3f"/>
      </w:tcPr>
    </w:tblStylePr>
  </w:style>
  <w:style w:type="table" w:styleId="LightShading-Accent3">
    <w:name w:val="Light Shading Accent 3"/>
    <w:uiPriority w:val="60"/>
    <w:basedOn w:val="TableNormal"/>
    <w:pPr>
      <w:spacing w:after="0" w:line="240" w:lineRule="auto"/>
    </w:pPr>
    <w:rPr>
      <w:color w:val="76933C"/>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after="0" w:before="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E4" w:themeFill="accent3" w:themeFillTint="3f"/>
      </w:tcPr>
    </w:tblStylePr>
    <w:tblStylePr w:type="band1Horz">
      <w:tblPr/>
      <w:tcPr>
        <w:tcBorders>
          <w:left w:val="nil"/>
          <w:right w:val="nil"/>
          <w:insideH w:val="nil"/>
          <w:insideV w:val="nil"/>
        </w:tcBorders>
        <w:shd w:val="clear" w:color="auto" w:fill="EBF0E4" w:themeFill="accent3" w:themeFillTint="3f"/>
      </w:tcPr>
    </w:tblStylePr>
  </w:style>
  <w:style w:type="table" w:styleId="LightShading-Accent4">
    <w:name w:val="Light Shading Accent 4"/>
    <w:uiPriority w:val="60"/>
    <w:basedOn w:val="TableNormal"/>
    <w:pPr>
      <w:spacing w:after="0" w:line="240" w:lineRule="auto"/>
    </w:pPr>
    <w:rPr>
      <w:color w:val="604A7B"/>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after="0" w:before="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5EC" w:themeFill="accent4" w:themeFillTint="3f"/>
      </w:tcPr>
    </w:tblStylePr>
    <w:tblStylePr w:type="band1Horz">
      <w:tblPr/>
      <w:tcPr>
        <w:tcBorders>
          <w:left w:val="nil"/>
          <w:right w:val="nil"/>
          <w:insideH w:val="nil"/>
          <w:insideV w:val="nil"/>
        </w:tcBorders>
        <w:shd w:val="clear" w:color="auto" w:fill="E8E5EC" w:themeFill="accent4" w:themeFillTint="3f"/>
      </w:tcPr>
    </w:tblStylePr>
  </w:style>
  <w:style w:type="table" w:styleId="LightShading-Accent5">
    <w:name w:val="Light Shading Accent 5"/>
    <w:uiPriority w:val="60"/>
    <w:basedOn w:val="TableNormal"/>
    <w:pPr>
      <w:spacing w:after="0" w:line="240" w:lineRule="auto"/>
    </w:pPr>
    <w:rPr>
      <w:color w:val="31859B"/>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after="0" w:before="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EF3" w:themeFill="accent5" w:themeFillTint="3f"/>
      </w:tcPr>
    </w:tblStylePr>
    <w:tblStylePr w:type="band1Horz">
      <w:tblPr/>
      <w:tcPr>
        <w:tcBorders>
          <w:left w:val="nil"/>
          <w:right w:val="nil"/>
          <w:insideH w:val="nil"/>
          <w:insideV w:val="nil"/>
        </w:tcBorders>
        <w:shd w:val="clear" w:color="auto" w:fill="E3EEF3" w:themeFill="accent5" w:themeFillTint="3f"/>
      </w:tcPr>
    </w:tblStylePr>
  </w:style>
  <w:style w:type="table" w:styleId="LightShading-Accent6">
    <w:name w:val="Light Shading Accent 6"/>
    <w:uiPriority w:val="60"/>
    <w:basedOn w:val="TableNormal"/>
    <w:pPr>
      <w:spacing w:after="0" w:line="240" w:lineRule="auto"/>
    </w:pPr>
    <w:rPr>
      <w:color w:val="E46C0A"/>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after="0" w:before="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E3" w:themeFill="accent6" w:themeFillTint="3f"/>
      </w:tcPr>
    </w:tblStylePr>
    <w:tblStylePr w:type="band1Horz">
      <w:tblPr/>
      <w:tcPr>
        <w:tcBorders>
          <w:left w:val="nil"/>
          <w:right w:val="nil"/>
          <w:insideH w:val="nil"/>
          <w:insideV w:val="nil"/>
        </w:tcBorders>
        <w:shd w:val="clear" w:color="auto" w:fill="FDEBE3" w:themeFill="accent6" w:themeFillTint="3f"/>
      </w:tcPr>
    </w:tblStylePr>
  </w:style>
  <w:style w:type="table" w:styleId="LightList">
    <w:name w:val="Light List"/>
    <w:uiPriority w:val="61"/>
    <w:basedOn w:val="TableNormal"/>
    <w:pPr>
      <w:spacing w:after="0" w:line="240" w:lineRule="auto"/>
    </w:p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000000" w:themeFill="text1"/>
      </w:tcPr>
    </w:tblStylePr>
    <w:tblStylePr w:type="lastRow">
      <w:pPr>
        <w:spacing w:after="0" w:before="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uiPriority w:val="61"/>
    <w:basedOn w:val="TableNormal"/>
    <w:pPr>
      <w:spacing w:after="0" w:line="240" w:lineRule="auto"/>
    </w:p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4F81BD" w:themeFill="accent1"/>
      </w:tcPr>
    </w:tblStylePr>
    <w:tblStylePr w:type="lastRow">
      <w:pPr>
        <w:spacing w:after="0" w:before="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uiPriority w:val="61"/>
    <w:basedOn w:val="TableNormal"/>
    <w:pPr>
      <w:spacing w:after="0" w:line="240" w:lineRule="auto"/>
    </w:p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C0504D" w:themeFill="accent2"/>
      </w:tcPr>
    </w:tblStylePr>
    <w:tblStylePr w:type="lastRow">
      <w:pPr>
        <w:spacing w:after="0" w:before="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uiPriority w:val="61"/>
    <w:basedOn w:val="TableNormal"/>
    <w:pPr>
      <w:spacing w:after="0" w:line="240" w:lineRule="auto"/>
    </w:p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9BBB59" w:themeFill="accent3"/>
      </w:tcPr>
    </w:tblStylePr>
    <w:tblStylePr w:type="lastRow">
      <w:pPr>
        <w:spacing w:after="0" w:before="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uiPriority w:val="61"/>
    <w:basedOn w:val="TableNormal"/>
    <w:pPr>
      <w:spacing w:after="0" w:line="240" w:lineRule="auto"/>
    </w:p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8064A2" w:themeFill="accent4"/>
      </w:tcPr>
    </w:tblStylePr>
    <w:tblStylePr w:type="lastRow">
      <w:pPr>
        <w:spacing w:after="0" w:before="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uiPriority w:val="61"/>
    <w:basedOn w:val="TableNormal"/>
    <w:pPr>
      <w:spacing w:after="0" w:line="240" w:lineRule="auto"/>
    </w:p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4BACC6" w:themeFill="accent5"/>
      </w:tcPr>
    </w:tblStylePr>
    <w:tblStylePr w:type="lastRow">
      <w:pPr>
        <w:spacing w:after="0" w:before="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uiPriority w:val="61"/>
    <w:basedOn w:val="TableNormal"/>
    <w:pPr>
      <w:spacing w:after="0" w:line="240" w:lineRule="auto"/>
    </w:p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F79646" w:themeFill="accent6"/>
      </w:tcPr>
    </w:tblStylePr>
    <w:tblStylePr w:type="lastRow">
      <w:pPr>
        <w:spacing w:after="0" w:before="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uiPriority w:val="62"/>
    <w:basedOn w:val="TableNormal"/>
    <w:pPr>
      <w:spacing w:after="0" w:line="240" w:lineRule="auto"/>
    </w:p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1E1E1"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E1E1E1"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uiPriority w:val="62"/>
    <w:basedOn w:val="TableNormal"/>
    <w:pPr>
      <w:spacing w:after="0" w:line="240" w:lineRule="auto"/>
    </w:p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E4E8F1"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E4E8F1"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uiPriority w:val="62"/>
    <w:basedOn w:val="TableNormal"/>
    <w:pPr>
      <w:spacing w:after="0" w:line="240" w:lineRule="auto"/>
    </w:p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F1E4E3"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F1E4E3"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uiPriority w:val="62"/>
    <w:basedOn w:val="TableNormal"/>
    <w:pPr>
      <w:spacing w:after="0" w:line="240" w:lineRule="auto"/>
    </w:p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BF0E4"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BF0E4"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uiPriority w:val="62"/>
    <w:basedOn w:val="TableNormal"/>
    <w:pPr>
      <w:spacing w:after="0" w:line="240" w:lineRule="auto"/>
    </w:p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E8E5EC"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E8E5EC"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uiPriority w:val="62"/>
    <w:basedOn w:val="TableNormal"/>
    <w:pPr>
      <w:spacing w:after="0" w:line="240" w:lineRule="auto"/>
    </w:p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E3EEF3"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E3EEF3"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uiPriority w:val="62"/>
    <w:basedOn w:val="TableNormal"/>
    <w:pPr>
      <w:spacing w:after="0" w:line="240" w:lineRule="auto"/>
    </w:p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HAnsi" w:hAnsiTheme="majorHAnsi" w:cstheme="major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after="0" w:before="0" w:line="240" w:lineRule="auto"/>
      </w:pPr>
      <w:rPr>
        <w:rFonts w:asciiTheme="majorHAnsi" w:eastAsiaTheme="majorHAnsi" w:hAnsiTheme="majorHAnsi" w:cstheme="major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HAnsi" w:hAnsiTheme="majorHAnsi" w:cstheme="majorEastAsia"/>
        <w:b/>
        <w:bCs/>
      </w:rPr>
    </w:tblStylePr>
    <w:tblStylePr w:type="lastCol">
      <w:rPr>
        <w:rFonts w:asciiTheme="majorHAnsi" w:eastAsiaTheme="majorHAnsi" w:hAnsiTheme="majorHAnsi" w:cstheme="major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BE3"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BE3"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uiPriority w:val="63"/>
    <w:basedOn w:val="TableNormal"/>
    <w:pPr>
      <w:spacing w:after="0" w:line="240" w:lineRule="auto"/>
    </w:pPr>
    <w:tblPr>
      <w:tblInd w:w="0" w:type="dxa"/>
      <w:tblBorders>
        <w:top w:val="single" w:sz="8" w:space="0" w:color="8C8C8C" w:themeColor="text1" w:themeTint="bf"/>
        <w:left w:val="single" w:sz="8" w:space="0" w:color="8C8C8C" w:themeColor="text1" w:themeTint="bf"/>
        <w:bottom w:val="single" w:sz="8" w:space="0" w:color="8C8C8C" w:themeColor="text1" w:themeTint="bf"/>
        <w:right w:val="single" w:sz="8" w:space="0" w:color="8C8C8C" w:themeColor="text1" w:themeTint="bf"/>
        <w:insideH w:val="single" w:sz="8" w:space="0" w:color="8C8C8C" w:themeColor="text1"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8C8C8C" w:themeColor="text1" w:themeTint="bf"/>
          <w:left w:val="single" w:sz="8" w:space="0" w:color="8C8C8C" w:themeColor="text1" w:themeTint="bf"/>
          <w:bottom w:val="single" w:sz="8" w:space="0" w:color="8C8C8C" w:themeColor="text1" w:themeTint="bf"/>
          <w:right w:val="single" w:sz="8" w:space="0" w:color="8C8C8C" w:themeColor="text1" w:themeTint="bf"/>
          <w:insideH w:val="nil"/>
          <w:insideV w:val="nil"/>
        </w:tcBorders>
        <w:shd w:val="clear" w:color="auto" w:fill="000000" w:themeFill="text1"/>
      </w:tcPr>
    </w:tblStylePr>
    <w:tblStylePr w:type="lastRow">
      <w:pPr>
        <w:spacing w:after="0" w:before="0" w:line="240" w:lineRule="auto"/>
      </w:pPr>
      <w:rPr>
        <w:b/>
        <w:bCs/>
      </w:rPr>
      <w:tblPr/>
      <w:tcPr>
        <w:tcBorders>
          <w:top w:val="double" w:sz="6" w:space="0" w:color="8C8C8C" w:themeColor="text1" w:themeTint="bf"/>
          <w:left w:val="single" w:sz="8" w:space="0" w:color="8C8C8C" w:themeColor="text1" w:themeTint="bf"/>
          <w:bottom w:val="single" w:sz="8" w:space="0" w:color="8C8C8C" w:themeColor="text1" w:themeTint="bf"/>
          <w:right w:val="single" w:sz="8" w:space="0" w:color="8C8C8C" w:themeColor="text1" w:themeTint="bf"/>
          <w:insideH w:val="nil"/>
          <w:insideV w:val="nil"/>
        </w:tcBorders>
      </w:tcPr>
    </w:tblStylePr>
    <w:tblStylePr w:type="firstCol">
      <w:rPr>
        <w:b/>
        <w:bCs/>
      </w:rPr>
    </w:tblStylePr>
    <w:tblStylePr w:type="lastCol">
      <w:rPr>
        <w:b/>
        <w:bCs/>
      </w:rPr>
    </w:tblStylePr>
    <w:tblStylePr w:type="band1Vert">
      <w:tblPr/>
      <w:tcPr>
        <w:shd w:val="clear" w:color="auto" w:fill="E1E1E1" w:themeFill="text1" w:themeFillTint="3f"/>
      </w:tcPr>
    </w:tblStylePr>
    <w:tblStylePr w:type="band1Horz">
      <w:tblPr/>
      <w:tcPr>
        <w:tcBorders>
          <w:insideH w:val="nil"/>
          <w:insideV w:val="nil"/>
        </w:tcBorders>
        <w:shd w:val="clear" w:color="auto" w:fill="E1E1E1" w:themeFill="text1" w:themeFillTint="3f"/>
      </w:tcPr>
    </w:tblStylePr>
    <w:tblStylePr w:type="band2Horz">
      <w:tblPr/>
      <w:tcPr>
        <w:tcBorders>
          <w:insideH w:val="nil"/>
          <w:insideV w:val="nil"/>
        </w:tcBorders>
      </w:tcPr>
    </w:tblStylePr>
  </w:style>
  <w:style w:type="table" w:styleId="MediumShading1-Accent1">
    <w:name w:val="Medium Shading 1 Accent 1"/>
    <w:uiPriority w:val="63"/>
    <w:basedOn w:val="TableNormal"/>
    <w:pPr>
      <w:spacing w:after="0" w:line="240" w:lineRule="auto"/>
    </w:pPr>
    <w:tblPr>
      <w:tblInd w:w="0" w:type="dxa"/>
      <w:tblBorders>
        <w:top w:val="single" w:sz="8" w:space="0" w:color="97ADD0" w:themeColor="accent1" w:themeTint="bf"/>
        <w:left w:val="single" w:sz="8" w:space="0" w:color="97ADD0" w:themeColor="accent1" w:themeTint="bf"/>
        <w:bottom w:val="single" w:sz="8" w:space="0" w:color="97ADD0" w:themeColor="accent1" w:themeTint="bf"/>
        <w:right w:val="single" w:sz="8" w:space="0" w:color="97ADD0" w:themeColor="accent1" w:themeTint="bf"/>
        <w:insideH w:val="single" w:sz="8" w:space="0" w:color="97ADD0" w:themeColor="accent1"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97ADD0" w:themeColor="accent1" w:themeTint="bf"/>
          <w:left w:val="single" w:sz="8" w:space="0" w:color="97ADD0" w:themeColor="accent1" w:themeTint="bf"/>
          <w:bottom w:val="single" w:sz="8" w:space="0" w:color="97ADD0" w:themeColor="accent1" w:themeTint="bf"/>
          <w:right w:val="single" w:sz="8" w:space="0" w:color="97ADD0" w:themeColor="accent1" w:themeTint="bf"/>
          <w:insideH w:val="nil"/>
          <w:insideV w:val="nil"/>
        </w:tcBorders>
        <w:shd w:val="clear" w:color="auto" w:fill="4F81BD" w:themeFill="accent1"/>
      </w:tcPr>
    </w:tblStylePr>
    <w:tblStylePr w:type="lastRow">
      <w:pPr>
        <w:spacing w:after="0" w:before="0" w:line="240" w:lineRule="auto"/>
      </w:pPr>
      <w:rPr>
        <w:b/>
        <w:bCs/>
      </w:rPr>
      <w:tblPr/>
      <w:tcPr>
        <w:tcBorders>
          <w:top w:val="double" w:sz="6" w:space="0" w:color="97ADD0" w:themeColor="accent1" w:themeTint="bf"/>
          <w:left w:val="single" w:sz="8" w:space="0" w:color="97ADD0" w:themeColor="accent1" w:themeTint="bf"/>
          <w:bottom w:val="single" w:sz="8" w:space="0" w:color="97ADD0" w:themeColor="accent1" w:themeTint="bf"/>
          <w:right w:val="single" w:sz="8" w:space="0" w:color="97ADD0"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8F1" w:themeFill="accent1" w:themeFillTint="3f"/>
      </w:tcPr>
    </w:tblStylePr>
    <w:tblStylePr w:type="band1Horz">
      <w:tblPr/>
      <w:tcPr>
        <w:tcBorders>
          <w:insideH w:val="nil"/>
          <w:insideV w:val="nil"/>
        </w:tcBorders>
        <w:shd w:val="clear" w:color="auto" w:fill="E4E8F1" w:themeFill="accent1" w:themeFillTint="3f"/>
      </w:tcPr>
    </w:tblStylePr>
    <w:tblStylePr w:type="band2Horz">
      <w:tblPr/>
      <w:tcPr>
        <w:tcBorders>
          <w:insideH w:val="nil"/>
          <w:insideV w:val="nil"/>
        </w:tcBorders>
      </w:tcPr>
    </w:tblStylePr>
  </w:style>
  <w:style w:type="table" w:styleId="MediumShading1-Accent2">
    <w:name w:val="Medium Shading 1 Accent 2"/>
    <w:uiPriority w:val="63"/>
    <w:basedOn w:val="TableNormal"/>
    <w:pPr>
      <w:spacing w:after="0" w:line="240" w:lineRule="auto"/>
    </w:pPr>
    <w:tblPr>
      <w:tblInd w:w="0" w:type="dxa"/>
      <w:tblBorders>
        <w:top w:val="single" w:sz="8" w:space="0" w:color="D29897" w:themeColor="accent2" w:themeTint="bf"/>
        <w:left w:val="single" w:sz="8" w:space="0" w:color="D29897" w:themeColor="accent2" w:themeTint="bf"/>
        <w:bottom w:val="single" w:sz="8" w:space="0" w:color="D29897" w:themeColor="accent2" w:themeTint="bf"/>
        <w:right w:val="single" w:sz="8" w:space="0" w:color="D29897" w:themeColor="accent2" w:themeTint="bf"/>
        <w:insideH w:val="single" w:sz="8" w:space="0" w:color="D29897" w:themeColor="accent2"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D29897" w:themeColor="accent2" w:themeTint="bf"/>
          <w:left w:val="single" w:sz="8" w:space="0" w:color="D29897" w:themeColor="accent2" w:themeTint="bf"/>
          <w:bottom w:val="single" w:sz="8" w:space="0" w:color="D29897" w:themeColor="accent2" w:themeTint="bf"/>
          <w:right w:val="single" w:sz="8" w:space="0" w:color="D29897" w:themeColor="accent2" w:themeTint="bf"/>
          <w:insideH w:val="nil"/>
          <w:insideV w:val="nil"/>
        </w:tcBorders>
        <w:shd w:val="clear" w:color="auto" w:fill="C0504D" w:themeFill="accent2"/>
      </w:tcPr>
    </w:tblStylePr>
    <w:tblStylePr w:type="lastRow">
      <w:pPr>
        <w:spacing w:after="0" w:before="0" w:line="240" w:lineRule="auto"/>
      </w:pPr>
      <w:rPr>
        <w:b/>
        <w:bCs/>
      </w:rPr>
      <w:tblPr/>
      <w:tcPr>
        <w:tcBorders>
          <w:top w:val="double" w:sz="6" w:space="0" w:color="D29897" w:themeColor="accent2" w:themeTint="bf"/>
          <w:left w:val="single" w:sz="8" w:space="0" w:color="D29897" w:themeColor="accent2" w:themeTint="bf"/>
          <w:bottom w:val="single" w:sz="8" w:space="0" w:color="D29897" w:themeColor="accent2" w:themeTint="bf"/>
          <w:right w:val="single" w:sz="8" w:space="0" w:color="D2989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E4E3" w:themeFill="accent2" w:themeFillTint="3f"/>
      </w:tcPr>
    </w:tblStylePr>
    <w:tblStylePr w:type="band1Horz">
      <w:tblPr/>
      <w:tcPr>
        <w:tcBorders>
          <w:insideH w:val="nil"/>
          <w:insideV w:val="nil"/>
        </w:tcBorders>
        <w:shd w:val="clear" w:color="auto" w:fill="F1E4E3" w:themeFill="accent2" w:themeFillTint="3f"/>
      </w:tcPr>
    </w:tblStylePr>
    <w:tblStylePr w:type="band2Horz">
      <w:tblPr/>
      <w:tcPr>
        <w:tcBorders>
          <w:insideH w:val="nil"/>
          <w:insideV w:val="nil"/>
        </w:tcBorders>
      </w:tcPr>
    </w:tblStylePr>
  </w:style>
  <w:style w:type="table" w:styleId="MediumShading1-Accent3">
    <w:name w:val="Medium Shading 1 Accent 3"/>
    <w:uiPriority w:val="63"/>
    <w:basedOn w:val="TableNormal"/>
    <w:pPr>
      <w:spacing w:after="0" w:line="240" w:lineRule="auto"/>
    </w:pPr>
    <w:tblPr>
      <w:tblInd w:w="0" w:type="dxa"/>
      <w:tblBorders>
        <w:top w:val="single" w:sz="8" w:space="0" w:color="BBCF9B" w:themeColor="accent3" w:themeTint="bf"/>
        <w:left w:val="single" w:sz="8" w:space="0" w:color="BBCF9B" w:themeColor="accent3" w:themeTint="bf"/>
        <w:bottom w:val="single" w:sz="8" w:space="0" w:color="BBCF9B" w:themeColor="accent3" w:themeTint="bf"/>
        <w:right w:val="single" w:sz="8" w:space="0" w:color="BBCF9B" w:themeColor="accent3" w:themeTint="bf"/>
        <w:insideH w:val="single" w:sz="8" w:space="0" w:color="BBCF9B" w:themeColor="accent3"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BBCF9B" w:themeColor="accent3" w:themeTint="bf"/>
          <w:left w:val="single" w:sz="8" w:space="0" w:color="BBCF9B" w:themeColor="accent3" w:themeTint="bf"/>
          <w:bottom w:val="single" w:sz="8" w:space="0" w:color="BBCF9B" w:themeColor="accent3" w:themeTint="bf"/>
          <w:right w:val="single" w:sz="8" w:space="0" w:color="BBCF9B" w:themeColor="accent3" w:themeTint="bf"/>
          <w:insideH w:val="nil"/>
          <w:insideV w:val="nil"/>
        </w:tcBorders>
        <w:shd w:val="clear" w:color="auto" w:fill="9BBB59" w:themeFill="accent3"/>
      </w:tcPr>
    </w:tblStylePr>
    <w:tblStylePr w:type="lastRow">
      <w:pPr>
        <w:spacing w:after="0" w:before="0" w:line="240" w:lineRule="auto"/>
      </w:pPr>
      <w:rPr>
        <w:b/>
        <w:bCs/>
      </w:rPr>
      <w:tblPr/>
      <w:tcPr>
        <w:tcBorders>
          <w:top w:val="double" w:sz="6" w:space="0" w:color="BBCF9B" w:themeColor="accent3" w:themeTint="bf"/>
          <w:left w:val="single" w:sz="8" w:space="0" w:color="BBCF9B" w:themeColor="accent3" w:themeTint="bf"/>
          <w:bottom w:val="single" w:sz="8" w:space="0" w:color="BBCF9B" w:themeColor="accent3" w:themeTint="bf"/>
          <w:right w:val="single" w:sz="8" w:space="0" w:color="BBCF9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F0E4" w:themeFill="accent3" w:themeFillTint="3f"/>
      </w:tcPr>
    </w:tblStylePr>
    <w:tblStylePr w:type="band1Horz">
      <w:tblPr/>
      <w:tcPr>
        <w:tcBorders>
          <w:insideH w:val="nil"/>
          <w:insideV w:val="nil"/>
        </w:tcBorders>
        <w:shd w:val="clear" w:color="auto" w:fill="EBF0E4" w:themeFill="accent3" w:themeFillTint="3f"/>
      </w:tcPr>
    </w:tblStylePr>
    <w:tblStylePr w:type="band2Horz">
      <w:tblPr/>
      <w:tcPr>
        <w:tcBorders>
          <w:insideH w:val="nil"/>
          <w:insideV w:val="nil"/>
        </w:tcBorders>
      </w:tcPr>
    </w:tblStylePr>
  </w:style>
  <w:style w:type="table" w:styleId="MediumShading1-Accent4">
    <w:name w:val="Medium Shading 1 Accent 4"/>
    <w:uiPriority w:val="63"/>
    <w:basedOn w:val="TableNormal"/>
    <w:pPr>
      <w:spacing w:after="0" w:line="240" w:lineRule="auto"/>
    </w:pPr>
    <w:tblPr>
      <w:tblInd w:w="0" w:type="dxa"/>
      <w:tblBorders>
        <w:top w:val="single" w:sz="8" w:space="0" w:color="AC9FBF" w:themeColor="accent4" w:themeTint="bf"/>
        <w:left w:val="single" w:sz="8" w:space="0" w:color="AC9FBF" w:themeColor="accent4" w:themeTint="bf"/>
        <w:bottom w:val="single" w:sz="8" w:space="0" w:color="AC9FBF" w:themeColor="accent4" w:themeTint="bf"/>
        <w:right w:val="single" w:sz="8" w:space="0" w:color="AC9FBF" w:themeColor="accent4" w:themeTint="bf"/>
        <w:insideH w:val="single" w:sz="8" w:space="0" w:color="AC9FBF" w:themeColor="accent4"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AC9FBF" w:themeColor="accent4" w:themeTint="bf"/>
          <w:left w:val="single" w:sz="8" w:space="0" w:color="AC9FBF" w:themeColor="accent4" w:themeTint="bf"/>
          <w:bottom w:val="single" w:sz="8" w:space="0" w:color="AC9FBF" w:themeColor="accent4" w:themeTint="bf"/>
          <w:right w:val="single" w:sz="8" w:space="0" w:color="AC9FBF" w:themeColor="accent4" w:themeTint="bf"/>
          <w:insideH w:val="nil"/>
          <w:insideV w:val="nil"/>
        </w:tcBorders>
        <w:shd w:val="clear" w:color="auto" w:fill="8064A2" w:themeFill="accent4"/>
      </w:tcPr>
    </w:tblStylePr>
    <w:tblStylePr w:type="lastRow">
      <w:pPr>
        <w:spacing w:after="0" w:before="0" w:line="240" w:lineRule="auto"/>
      </w:pPr>
      <w:rPr>
        <w:b/>
        <w:bCs/>
      </w:rPr>
      <w:tblPr/>
      <w:tcPr>
        <w:tcBorders>
          <w:top w:val="double" w:sz="6" w:space="0" w:color="AC9FBF" w:themeColor="accent4" w:themeTint="bf"/>
          <w:left w:val="single" w:sz="8" w:space="0" w:color="AC9FBF" w:themeColor="accent4" w:themeTint="bf"/>
          <w:bottom w:val="single" w:sz="8" w:space="0" w:color="AC9FBF" w:themeColor="accent4" w:themeTint="bf"/>
          <w:right w:val="single" w:sz="8" w:space="0" w:color="AC9FB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5EC" w:themeFill="accent4" w:themeFillTint="3f"/>
      </w:tcPr>
    </w:tblStylePr>
    <w:tblStylePr w:type="band1Horz">
      <w:tblPr/>
      <w:tcPr>
        <w:tcBorders>
          <w:insideH w:val="nil"/>
          <w:insideV w:val="nil"/>
        </w:tcBorders>
        <w:shd w:val="clear" w:color="auto" w:fill="E8E5EC" w:themeFill="accent4" w:themeFillTint="3f"/>
      </w:tcPr>
    </w:tblStylePr>
    <w:tblStylePr w:type="band2Horz">
      <w:tblPr/>
      <w:tcPr>
        <w:tcBorders>
          <w:insideH w:val="nil"/>
          <w:insideV w:val="nil"/>
        </w:tcBorders>
      </w:tcPr>
    </w:tblStylePr>
  </w:style>
  <w:style w:type="table" w:styleId="MediumShading1-Accent5">
    <w:name w:val="Medium Shading 1 Accent 5"/>
    <w:uiPriority w:val="63"/>
    <w:basedOn w:val="TableNormal"/>
    <w:pPr>
      <w:spacing w:after="0" w:line="240" w:lineRule="auto"/>
    </w:pPr>
    <w:tblPr>
      <w:tblInd w:w="0" w:type="dxa"/>
      <w:tblBorders>
        <w:top w:val="single" w:sz="8" w:space="0" w:color="96C5D6" w:themeColor="accent5" w:themeTint="bf"/>
        <w:left w:val="single" w:sz="8" w:space="0" w:color="96C5D6" w:themeColor="accent5" w:themeTint="bf"/>
        <w:bottom w:val="single" w:sz="8" w:space="0" w:color="96C5D6" w:themeColor="accent5" w:themeTint="bf"/>
        <w:right w:val="single" w:sz="8" w:space="0" w:color="96C5D6" w:themeColor="accent5" w:themeTint="bf"/>
        <w:insideH w:val="single" w:sz="8" w:space="0" w:color="96C5D6" w:themeColor="accent5"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96C5D6" w:themeColor="accent5" w:themeTint="bf"/>
          <w:left w:val="single" w:sz="8" w:space="0" w:color="96C5D6" w:themeColor="accent5" w:themeTint="bf"/>
          <w:bottom w:val="single" w:sz="8" w:space="0" w:color="96C5D6" w:themeColor="accent5" w:themeTint="bf"/>
          <w:right w:val="single" w:sz="8" w:space="0" w:color="96C5D6" w:themeColor="accent5" w:themeTint="bf"/>
          <w:insideH w:val="nil"/>
          <w:insideV w:val="nil"/>
        </w:tcBorders>
        <w:shd w:val="clear" w:color="auto" w:fill="4BACC6" w:themeFill="accent5"/>
      </w:tcPr>
    </w:tblStylePr>
    <w:tblStylePr w:type="lastRow">
      <w:pPr>
        <w:spacing w:after="0" w:before="0" w:line="240" w:lineRule="auto"/>
      </w:pPr>
      <w:rPr>
        <w:b/>
        <w:bCs/>
      </w:rPr>
      <w:tblPr/>
      <w:tcPr>
        <w:tcBorders>
          <w:top w:val="double" w:sz="6" w:space="0" w:color="96C5D6" w:themeColor="accent5" w:themeTint="bf"/>
          <w:left w:val="single" w:sz="8" w:space="0" w:color="96C5D6" w:themeColor="accent5" w:themeTint="bf"/>
          <w:bottom w:val="single" w:sz="8" w:space="0" w:color="96C5D6" w:themeColor="accent5" w:themeTint="bf"/>
          <w:right w:val="single" w:sz="8" w:space="0" w:color="96C5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EF3" w:themeFill="accent5" w:themeFillTint="3f"/>
      </w:tcPr>
    </w:tblStylePr>
    <w:tblStylePr w:type="band1Horz">
      <w:tblPr/>
      <w:tcPr>
        <w:tcBorders>
          <w:insideH w:val="nil"/>
          <w:insideV w:val="nil"/>
        </w:tcBorders>
        <w:shd w:val="clear" w:color="auto" w:fill="E3EEF3" w:themeFill="accent5" w:themeFillTint="3f"/>
      </w:tcPr>
    </w:tblStylePr>
    <w:tblStylePr w:type="band2Horz">
      <w:tblPr/>
      <w:tcPr>
        <w:tcBorders>
          <w:insideH w:val="nil"/>
          <w:insideV w:val="nil"/>
        </w:tcBorders>
      </w:tcPr>
    </w:tblStylePr>
  </w:style>
  <w:style w:type="table" w:styleId="MediumShading1-Accent6">
    <w:name w:val="Medium Shading 1 Accent 6"/>
    <w:uiPriority w:val="63"/>
    <w:basedOn w:val="TableNormal"/>
    <w:pPr>
      <w:spacing w:after="0" w:line="240" w:lineRule="auto"/>
    </w:pPr>
    <w:tblPr>
      <w:tblInd w:w="0" w:type="dxa"/>
      <w:tblBorders>
        <w:top w:val="single" w:sz="8" w:space="0" w:color="F9B895" w:themeColor="accent6" w:themeTint="bf"/>
        <w:left w:val="single" w:sz="8" w:space="0" w:color="F9B895" w:themeColor="accent6" w:themeTint="bf"/>
        <w:bottom w:val="single" w:sz="8" w:space="0" w:color="F9B895" w:themeColor="accent6" w:themeTint="bf"/>
        <w:right w:val="single" w:sz="8" w:space="0" w:color="F9B895" w:themeColor="accent6" w:themeTint="bf"/>
        <w:insideH w:val="single" w:sz="8" w:space="0" w:color="F9B895" w:themeColor="accent6"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F9B895" w:themeColor="accent6" w:themeTint="bf"/>
          <w:left w:val="single" w:sz="8" w:space="0" w:color="F9B895" w:themeColor="accent6" w:themeTint="bf"/>
          <w:bottom w:val="single" w:sz="8" w:space="0" w:color="F9B895" w:themeColor="accent6" w:themeTint="bf"/>
          <w:right w:val="single" w:sz="8" w:space="0" w:color="F9B895" w:themeColor="accent6" w:themeTint="bf"/>
          <w:insideH w:val="nil"/>
          <w:insideV w:val="nil"/>
        </w:tcBorders>
        <w:shd w:val="clear" w:color="auto" w:fill="F79646" w:themeFill="accent6"/>
      </w:tcPr>
    </w:tblStylePr>
    <w:tblStylePr w:type="lastRow">
      <w:pPr>
        <w:spacing w:after="0" w:before="0" w:line="240" w:lineRule="auto"/>
      </w:pPr>
      <w:rPr>
        <w:b/>
        <w:bCs/>
      </w:rPr>
      <w:tblPr/>
      <w:tcPr>
        <w:tcBorders>
          <w:top w:val="double" w:sz="6" w:space="0" w:color="F9B895" w:themeColor="accent6" w:themeTint="bf"/>
          <w:left w:val="single" w:sz="8" w:space="0" w:color="F9B895" w:themeColor="accent6" w:themeTint="bf"/>
          <w:bottom w:val="single" w:sz="8" w:space="0" w:color="F9B895" w:themeColor="accent6" w:themeTint="bf"/>
          <w:right w:val="single" w:sz="8" w:space="0" w:color="F9B89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BE3" w:themeFill="accent6" w:themeFillTint="3f"/>
      </w:tcPr>
    </w:tblStylePr>
    <w:tblStylePr w:type="band1Horz">
      <w:tblPr/>
      <w:tcPr>
        <w:tcBorders>
          <w:insideH w:val="nil"/>
          <w:insideV w:val="nil"/>
        </w:tcBorders>
        <w:shd w:val="clear" w:color="auto" w:fill="FDEBE3" w:themeFill="accent6" w:themeFillTint="3f"/>
      </w:tcPr>
    </w:tblStylePr>
    <w:tblStylePr w:type="band2Horz">
      <w:tblPr/>
      <w:tcPr>
        <w:tcBorders>
          <w:insideH w:val="nil"/>
          <w:insideV w:val="nil"/>
        </w:tcBorders>
      </w:tcPr>
    </w:tblStylePr>
  </w:style>
  <w:style w:type="table" w:styleId="MediumShading2">
    <w:name w:val="Medium Shading 2"/>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uiPriority w:val="65"/>
    <w:basedOn w:val="TableNormal"/>
    <w:pPr>
      <w:spacing w:after="0" w:line="240" w:lineRule="auto"/>
    </w:pPr>
    <w:rPr>
      <w:color w:val="000000"/>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E1E1E1" w:themeFill="text1" w:themeFillTint="3f"/>
      </w:tcPr>
    </w:tblStylePr>
    <w:tblStylePr w:type="band1Horz">
      <w:tblPr/>
      <w:tcPr>
        <w:shd w:val="clear" w:color="auto" w:fill="E1E1E1" w:themeFill="text1" w:themeFillTint="3f"/>
      </w:tcPr>
    </w:tblStylePr>
  </w:style>
  <w:style w:type="table" w:styleId="MediumList1-Accent1">
    <w:name w:val="Medium List 1 Accent 1"/>
    <w:uiPriority w:val="65"/>
    <w:basedOn w:val="TableNormal"/>
    <w:pPr>
      <w:spacing w:after="0" w:line="240" w:lineRule="auto"/>
    </w:pPr>
    <w:rPr>
      <w:color w:val="000000"/>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E4E8F1" w:themeFill="accent1" w:themeFillTint="3f"/>
      </w:tcPr>
    </w:tblStylePr>
    <w:tblStylePr w:type="band1Horz">
      <w:tblPr/>
      <w:tcPr>
        <w:shd w:val="clear" w:color="auto" w:fill="E4E8F1" w:themeFill="accent1" w:themeFillTint="3f"/>
      </w:tcPr>
    </w:tblStylePr>
  </w:style>
  <w:style w:type="table" w:styleId="MediumList1-Accent2">
    <w:name w:val="Medium List 1 Accent 2"/>
    <w:uiPriority w:val="65"/>
    <w:basedOn w:val="TableNormal"/>
    <w:pPr>
      <w:spacing w:after="0" w:line="240" w:lineRule="auto"/>
    </w:pPr>
    <w:rPr>
      <w:color w:val="000000"/>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F1E4E3" w:themeFill="accent2" w:themeFillTint="3f"/>
      </w:tcPr>
    </w:tblStylePr>
    <w:tblStylePr w:type="band1Horz">
      <w:tblPr/>
      <w:tcPr>
        <w:shd w:val="clear" w:color="auto" w:fill="F1E4E3" w:themeFill="accent2" w:themeFillTint="3f"/>
      </w:tcPr>
    </w:tblStylePr>
  </w:style>
  <w:style w:type="table" w:styleId="MediumList1-Accent3">
    <w:name w:val="Medium List 1 Accent 3"/>
    <w:uiPriority w:val="65"/>
    <w:basedOn w:val="TableNormal"/>
    <w:pPr>
      <w:spacing w:after="0" w:line="240" w:lineRule="auto"/>
    </w:pPr>
    <w:rPr>
      <w:color w:val="000000"/>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BF0E4" w:themeFill="accent3" w:themeFillTint="3f"/>
      </w:tcPr>
    </w:tblStylePr>
    <w:tblStylePr w:type="band1Horz">
      <w:tblPr/>
      <w:tcPr>
        <w:shd w:val="clear" w:color="auto" w:fill="EBF0E4" w:themeFill="accent3" w:themeFillTint="3f"/>
      </w:tcPr>
    </w:tblStylePr>
  </w:style>
  <w:style w:type="table" w:styleId="MediumList1-Accent4">
    <w:name w:val="Medium List 1 Accent 4"/>
    <w:uiPriority w:val="65"/>
    <w:basedOn w:val="TableNormal"/>
    <w:pPr>
      <w:spacing w:after="0" w:line="240" w:lineRule="auto"/>
    </w:pPr>
    <w:rPr>
      <w:color w:val="000000"/>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E8E5EC" w:themeFill="accent4" w:themeFillTint="3f"/>
      </w:tcPr>
    </w:tblStylePr>
    <w:tblStylePr w:type="band1Horz">
      <w:tblPr/>
      <w:tcPr>
        <w:shd w:val="clear" w:color="auto" w:fill="E8E5EC" w:themeFill="accent4" w:themeFillTint="3f"/>
      </w:tcPr>
    </w:tblStylePr>
  </w:style>
  <w:style w:type="table" w:styleId="MediumList1-Accent5">
    <w:name w:val="Medium List 1 Accent 5"/>
    <w:uiPriority w:val="65"/>
    <w:basedOn w:val="TableNormal"/>
    <w:pPr>
      <w:spacing w:after="0" w:line="240" w:lineRule="auto"/>
    </w:pPr>
    <w:rPr>
      <w:color w:val="000000"/>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E3EEF3" w:themeFill="accent5" w:themeFillTint="3f"/>
      </w:tcPr>
    </w:tblStylePr>
    <w:tblStylePr w:type="band1Horz">
      <w:tblPr/>
      <w:tcPr>
        <w:shd w:val="clear" w:color="auto" w:fill="E3EEF3" w:themeFill="accent5" w:themeFillTint="3f"/>
      </w:tcPr>
    </w:tblStylePr>
  </w:style>
  <w:style w:type="table" w:styleId="MediumList1-Accent6">
    <w:name w:val="Medium List 1 Accent 6"/>
    <w:uiPriority w:val="65"/>
    <w:basedOn w:val="TableNormal"/>
    <w:pPr>
      <w:spacing w:after="0" w:line="240" w:lineRule="auto"/>
    </w:pPr>
    <w:rPr>
      <w:color w:val="000000"/>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StyleColBandSize w:val="1"/>
      <w:tblStyleRowBandSize w:val="1"/>
    </w:tblPr>
    <w:tblStylePr w:type="firstRow">
      <w:rPr>
        <w:rFonts w:asciiTheme="majorHAnsi" w:eastAsiaTheme="majorHAnsi" w:hAnsiTheme="majorHAnsi" w:cstheme="majorEastAsia"/>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BE3" w:themeFill="accent6" w:themeFillTint="3f"/>
      </w:tcPr>
    </w:tblStylePr>
    <w:tblStylePr w:type="band1Horz">
      <w:tblPr/>
      <w:tcPr>
        <w:shd w:val="clear" w:color="auto" w:fill="FDEBE3" w:themeFill="accent6" w:themeFillTint="3f"/>
      </w:tcPr>
    </w:tblStylePr>
  </w:style>
  <w:style w:type="table" w:styleId="MediumList2">
    <w:name w:val="Medium List 2"/>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1E1" w:themeFill="text1" w:themeFillTint="3f"/>
      </w:tcPr>
    </w:tblStylePr>
    <w:tblStylePr w:type="band1Horz">
      <w:tblPr/>
      <w:tcPr>
        <w:tcBorders>
          <w:top w:val="nil"/>
          <w:bottom w:val="nil"/>
          <w:insideH w:val="nil"/>
          <w:insideV w:val="nil"/>
        </w:tcBorders>
        <w:shd w:val="clear" w:color="auto" w:fill="E1E1E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8F1" w:themeFill="accent1" w:themeFillTint="3f"/>
      </w:tcPr>
    </w:tblStylePr>
    <w:tblStylePr w:type="band1Horz">
      <w:tblPr/>
      <w:tcPr>
        <w:tcBorders>
          <w:top w:val="nil"/>
          <w:bottom w:val="nil"/>
          <w:insideH w:val="nil"/>
          <w:insideV w:val="nil"/>
        </w:tcBorders>
        <w:shd w:val="clear" w:color="auto" w:fill="E4E8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4E3" w:themeFill="accent2" w:themeFillTint="3f"/>
      </w:tcPr>
    </w:tblStylePr>
    <w:tblStylePr w:type="band1Horz">
      <w:tblPr/>
      <w:tcPr>
        <w:tcBorders>
          <w:top w:val="nil"/>
          <w:bottom w:val="nil"/>
          <w:insideH w:val="nil"/>
          <w:insideV w:val="nil"/>
        </w:tcBorders>
        <w:shd w:val="clear" w:color="auto" w:fill="F1E4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E4" w:themeFill="accent3" w:themeFillTint="3f"/>
      </w:tcPr>
    </w:tblStylePr>
    <w:tblStylePr w:type="band1Horz">
      <w:tblPr/>
      <w:tcPr>
        <w:tcBorders>
          <w:top w:val="nil"/>
          <w:bottom w:val="nil"/>
          <w:insideH w:val="nil"/>
          <w:insideV w:val="nil"/>
        </w:tcBorders>
        <w:shd w:val="clear" w:color="auto" w:fill="EBF0E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5EC" w:themeFill="accent4" w:themeFillTint="3f"/>
      </w:tcPr>
    </w:tblStylePr>
    <w:tblStylePr w:type="band1Horz">
      <w:tblPr/>
      <w:tcPr>
        <w:tcBorders>
          <w:top w:val="nil"/>
          <w:bottom w:val="nil"/>
          <w:insideH w:val="nil"/>
          <w:insideV w:val="nil"/>
        </w:tcBorders>
        <w:shd w:val="clear" w:color="auto" w:fill="E8E5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EF3" w:themeFill="accent5" w:themeFillTint="3f"/>
      </w:tcPr>
    </w:tblStylePr>
    <w:tblStylePr w:type="band1Horz">
      <w:tblPr/>
      <w:tcPr>
        <w:tcBorders>
          <w:top w:val="nil"/>
          <w:bottom w:val="nil"/>
          <w:insideH w:val="nil"/>
          <w:insideV w:val="nil"/>
        </w:tcBorders>
        <w:shd w:val="clear" w:color="auto" w:fill="E3EE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uiPriority w:val="66"/>
    <w:basedOn w:val="TableNormal"/>
    <w:pPr>
      <w:spacing w:after="0" w:line="240" w:lineRule="auto"/>
    </w:pPr>
    <w:rPr>
      <w:rFonts w:asciiTheme="majorHAnsi" w:eastAsiaTheme="majorHAnsi" w:hAnsiTheme="majorHAnsi" w:cstheme="majorEastAsia"/>
      <w:color w:val="000000"/>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BE3" w:themeFill="accent6" w:themeFillTint="3f"/>
      </w:tcPr>
    </w:tblStylePr>
    <w:tblStylePr w:type="band1Horz">
      <w:tblPr/>
      <w:tcPr>
        <w:tcBorders>
          <w:top w:val="nil"/>
          <w:bottom w:val="nil"/>
          <w:insideH w:val="nil"/>
          <w:insideV w:val="nil"/>
        </w:tcBorders>
        <w:shd w:val="clear" w:color="auto" w:fill="FDEB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uiPriority w:val="67"/>
    <w:basedOn w:val="TableNormal"/>
    <w:pPr>
      <w:spacing w:after="0" w:line="240" w:lineRule="auto"/>
    </w:pPr>
    <w:tblPr>
      <w:tblInd w:w="0" w:type="dxa"/>
      <w:tblBorders>
        <w:top w:val="single" w:sz="8" w:space="0" w:color="8C8C8C" w:themeColor="text1" w:themeTint="bf"/>
        <w:left w:val="single" w:sz="8" w:space="0" w:color="8C8C8C" w:themeColor="text1" w:themeTint="bf"/>
        <w:bottom w:val="single" w:sz="8" w:space="0" w:color="8C8C8C" w:themeColor="text1" w:themeTint="bf"/>
        <w:right w:val="single" w:sz="8" w:space="0" w:color="8C8C8C" w:themeColor="text1" w:themeTint="bf"/>
        <w:insideH w:val="single" w:sz="8" w:space="0" w:color="8C8C8C" w:themeColor="text1" w:themeTint="bf"/>
        <w:insideV w:val="single" w:sz="8" w:space="0" w:color="8C8C8C" w:themeColor="text1" w:themeTint="bf"/>
      </w:tblBorders>
      <w:tblCellMar>
        <w:top w:w="0" w:type="dxa"/>
        <w:left w:w="108" w:type="dxa"/>
        <w:bottom w:w="0" w:type="dxa"/>
        <w:right w:w="108" w:type="dxa"/>
      </w:tblCellMar>
      <w:tblStyleColBandSize w:val="1"/>
      <w:tblStyleRowBandSize w:val="1"/>
    </w:tblPr>
    <w:tcPr>
      <w:shd w:val="clear" w:color="auto" w:fill="E1E1E1" w:themeFill="text1" w:themeFillTint="3f"/>
    </w:tcPr>
    <w:tblStylePr w:type="firstRow">
      <w:rPr>
        <w:b/>
        <w:bCs/>
      </w:rPr>
    </w:tblStylePr>
    <w:tblStylePr w:type="lastRow">
      <w:rPr>
        <w:b/>
        <w:bCs/>
      </w:rPr>
      <w:tblPr/>
      <w:tcPr>
        <w:tcBorders>
          <w:top w:val="single" w:sz="18" w:space="0" w:color="8C8C8C" w:themeColor="text1" w:themeTint="bf"/>
        </w:tcBorders>
      </w:tcPr>
    </w:tblStylePr>
    <w:tblStylePr w:type="firstCol">
      <w:rPr>
        <w:b/>
        <w:bCs/>
      </w:rPr>
    </w:tblStylePr>
    <w:tblStylePr w:type="lastCol">
      <w:rPr>
        <w:b/>
        <w:bCs/>
      </w:rPr>
    </w:tblStylePr>
    <w:tblStylePr w:type="band1Vert">
      <w:tblPr/>
      <w:tcPr>
        <w:shd w:val="clear" w:color="auto" w:fill="BDBDBD" w:themeFill="text1" w:themeFillTint="7f"/>
      </w:tcPr>
    </w:tblStylePr>
    <w:tblStylePr w:type="band1Horz">
      <w:tblPr/>
      <w:tcPr>
        <w:shd w:val="clear" w:color="auto" w:fill="BDBDBD" w:themeFill="text1" w:themeFillTint="7f"/>
      </w:tcPr>
    </w:tblStylePr>
  </w:style>
  <w:style w:type="table" w:styleId="MediumGrid1-Accent1">
    <w:name w:val="Medium Grid 1 Accent 1"/>
    <w:uiPriority w:val="67"/>
    <w:basedOn w:val="TableNormal"/>
    <w:pPr>
      <w:spacing w:after="0" w:line="240" w:lineRule="auto"/>
    </w:pPr>
    <w:tblPr>
      <w:tblInd w:w="0" w:type="dxa"/>
      <w:tblBorders>
        <w:top w:val="single" w:sz="8" w:space="0" w:color="97ADD0" w:themeColor="accent1" w:themeTint="bf"/>
        <w:left w:val="single" w:sz="8" w:space="0" w:color="97ADD0" w:themeColor="accent1" w:themeTint="bf"/>
        <w:bottom w:val="single" w:sz="8" w:space="0" w:color="97ADD0" w:themeColor="accent1" w:themeTint="bf"/>
        <w:right w:val="single" w:sz="8" w:space="0" w:color="97ADD0" w:themeColor="accent1" w:themeTint="bf"/>
        <w:insideH w:val="single" w:sz="8" w:space="0" w:color="97ADD0" w:themeColor="accent1" w:themeTint="bf"/>
        <w:insideV w:val="single" w:sz="8" w:space="0" w:color="97ADD0" w:themeColor="accent1" w:themeTint="bf"/>
      </w:tblBorders>
      <w:tblCellMar>
        <w:top w:w="0" w:type="dxa"/>
        <w:left w:w="108" w:type="dxa"/>
        <w:bottom w:w="0" w:type="dxa"/>
        <w:right w:w="108" w:type="dxa"/>
      </w:tblCellMar>
      <w:tblStyleColBandSize w:val="1"/>
      <w:tblStyleRowBandSize w:val="1"/>
    </w:tblPr>
    <w:tcPr>
      <w:shd w:val="clear" w:color="auto" w:fill="E4E8F1" w:themeFill="accent1" w:themeFillTint="3f"/>
    </w:tcPr>
    <w:tblStylePr w:type="firstRow">
      <w:rPr>
        <w:b/>
        <w:bCs/>
      </w:rPr>
    </w:tblStylePr>
    <w:tblStylePr w:type="lastRow">
      <w:rPr>
        <w:b/>
        <w:bCs/>
      </w:rPr>
      <w:tblPr/>
      <w:tcPr>
        <w:tcBorders>
          <w:top w:val="single" w:sz="18" w:space="0" w:color="97ADD0" w:themeColor="accent1" w:themeTint="bf"/>
        </w:tcBorders>
      </w:tcPr>
    </w:tblStylePr>
    <w:tblStylePr w:type="firstCol">
      <w:rPr>
        <w:b/>
        <w:bCs/>
      </w:rPr>
    </w:tblStylePr>
    <w:tblStylePr w:type="lastCol">
      <w:rPr>
        <w:b/>
        <w:bCs/>
      </w:rPr>
    </w:tblStylePr>
    <w:tblStylePr w:type="band1Vert">
      <w:tblPr/>
      <w:tcPr>
        <w:shd w:val="clear" w:color="auto" w:fill="C2CDE1" w:themeFill="accent1" w:themeFillTint="7f"/>
      </w:tcPr>
    </w:tblStylePr>
    <w:tblStylePr w:type="band1Horz">
      <w:tblPr/>
      <w:tcPr>
        <w:shd w:val="clear" w:color="auto" w:fill="C2CDE1" w:themeFill="accent1" w:themeFillTint="7f"/>
      </w:tcPr>
    </w:tblStylePr>
  </w:style>
  <w:style w:type="table" w:styleId="MediumGrid1-Accent2">
    <w:name w:val="Medium Grid 1 Accent 2"/>
    <w:uiPriority w:val="67"/>
    <w:basedOn w:val="TableNormal"/>
    <w:pPr>
      <w:spacing w:after="0" w:line="240" w:lineRule="auto"/>
    </w:pPr>
    <w:tblPr>
      <w:tblInd w:w="0" w:type="dxa"/>
      <w:tblBorders>
        <w:top w:val="single" w:sz="8" w:space="0" w:color="D29897" w:themeColor="accent2" w:themeTint="bf"/>
        <w:left w:val="single" w:sz="8" w:space="0" w:color="D29897" w:themeColor="accent2" w:themeTint="bf"/>
        <w:bottom w:val="single" w:sz="8" w:space="0" w:color="D29897" w:themeColor="accent2" w:themeTint="bf"/>
        <w:right w:val="single" w:sz="8" w:space="0" w:color="D29897" w:themeColor="accent2" w:themeTint="bf"/>
        <w:insideH w:val="single" w:sz="8" w:space="0" w:color="D29897" w:themeColor="accent2" w:themeTint="bf"/>
        <w:insideV w:val="single" w:sz="8" w:space="0" w:color="D29897" w:themeColor="accent2" w:themeTint="bf"/>
      </w:tblBorders>
      <w:tblCellMar>
        <w:top w:w="0" w:type="dxa"/>
        <w:left w:w="108" w:type="dxa"/>
        <w:bottom w:w="0" w:type="dxa"/>
        <w:right w:w="108" w:type="dxa"/>
      </w:tblCellMar>
      <w:tblStyleColBandSize w:val="1"/>
      <w:tblStyleRowBandSize w:val="1"/>
    </w:tblPr>
    <w:tcPr>
      <w:shd w:val="clear" w:color="auto" w:fill="F1E4E3" w:themeFill="accent2" w:themeFillTint="3f"/>
    </w:tcPr>
    <w:tblStylePr w:type="firstRow">
      <w:rPr>
        <w:b/>
        <w:bCs/>
      </w:rPr>
    </w:tblStylePr>
    <w:tblStylePr w:type="lastRow">
      <w:rPr>
        <w:b/>
        <w:bCs/>
      </w:rPr>
      <w:tblPr/>
      <w:tcPr>
        <w:tcBorders>
          <w:top w:val="single" w:sz="18" w:space="0" w:color="D29897" w:themeColor="accent2" w:themeTint="bf"/>
        </w:tcBorders>
      </w:tcPr>
    </w:tblStylePr>
    <w:tblStylePr w:type="firstCol">
      <w:rPr>
        <w:b/>
        <w:bCs/>
      </w:rPr>
    </w:tblStylePr>
    <w:tblStylePr w:type="lastCol">
      <w:rPr>
        <w:b/>
        <w:bCs/>
      </w:rPr>
    </w:tblStylePr>
    <w:tblStylePr w:type="band1Vert">
      <w:tblPr/>
      <w:tcPr>
        <w:shd w:val="clear" w:color="auto" w:fill="E2C3C2" w:themeFill="accent2" w:themeFillTint="7f"/>
      </w:tcPr>
    </w:tblStylePr>
    <w:tblStylePr w:type="band1Horz">
      <w:tblPr/>
      <w:tcPr>
        <w:shd w:val="clear" w:color="auto" w:fill="E2C3C2" w:themeFill="accent2" w:themeFillTint="7f"/>
      </w:tcPr>
    </w:tblStylePr>
  </w:style>
  <w:style w:type="table" w:styleId="MediumGrid1-Accent3">
    <w:name w:val="Medium Grid 1 Accent 3"/>
    <w:uiPriority w:val="67"/>
    <w:basedOn w:val="TableNormal"/>
    <w:pPr>
      <w:spacing w:after="0" w:line="240" w:lineRule="auto"/>
    </w:pPr>
    <w:tblPr>
      <w:tblInd w:w="0" w:type="dxa"/>
      <w:tblBorders>
        <w:top w:val="single" w:sz="8" w:space="0" w:color="BBCF9B" w:themeColor="accent3" w:themeTint="bf"/>
        <w:left w:val="single" w:sz="8" w:space="0" w:color="BBCF9B" w:themeColor="accent3" w:themeTint="bf"/>
        <w:bottom w:val="single" w:sz="8" w:space="0" w:color="BBCF9B" w:themeColor="accent3" w:themeTint="bf"/>
        <w:right w:val="single" w:sz="8" w:space="0" w:color="BBCF9B" w:themeColor="accent3" w:themeTint="bf"/>
        <w:insideH w:val="single" w:sz="8" w:space="0" w:color="BBCF9B" w:themeColor="accent3" w:themeTint="bf"/>
        <w:insideV w:val="single" w:sz="8" w:space="0" w:color="BBCF9B" w:themeColor="accent3" w:themeTint="bf"/>
      </w:tblBorders>
      <w:tblCellMar>
        <w:top w:w="0" w:type="dxa"/>
        <w:left w:w="108" w:type="dxa"/>
        <w:bottom w:w="0" w:type="dxa"/>
        <w:right w:w="108" w:type="dxa"/>
      </w:tblCellMar>
      <w:tblStyleColBandSize w:val="1"/>
      <w:tblStyleRowBandSize w:val="1"/>
    </w:tblPr>
    <w:tcPr>
      <w:shd w:val="clear" w:color="auto" w:fill="EBF0E4" w:themeFill="accent3" w:themeFillTint="3f"/>
    </w:tcPr>
    <w:tblStylePr w:type="firstRow">
      <w:rPr>
        <w:b/>
        <w:bCs/>
      </w:rPr>
    </w:tblStylePr>
    <w:tblStylePr w:type="lastRow">
      <w:rPr>
        <w:b/>
        <w:bCs/>
      </w:rPr>
      <w:tblPr/>
      <w:tcPr>
        <w:tcBorders>
          <w:top w:val="single" w:sz="18" w:space="0" w:color="BBCF9B" w:themeColor="accent3" w:themeTint="bf"/>
        </w:tcBorders>
      </w:tcPr>
    </w:tblStylePr>
    <w:tblStylePr w:type="firstCol">
      <w:rPr>
        <w:b/>
        <w:bCs/>
      </w:rPr>
    </w:tblStylePr>
    <w:tblStylePr w:type="lastCol">
      <w:rPr>
        <w:b/>
        <w:bCs/>
      </w:rPr>
    </w:tblStylePr>
    <w:tblStylePr w:type="band1Vert">
      <w:tblPr/>
      <w:tcPr>
        <w:shd w:val="clear" w:color="auto" w:fill="D5E0C4" w:themeFill="accent3" w:themeFillTint="7f"/>
      </w:tcPr>
    </w:tblStylePr>
    <w:tblStylePr w:type="band1Horz">
      <w:tblPr/>
      <w:tcPr>
        <w:shd w:val="clear" w:color="auto" w:fill="D5E0C4" w:themeFill="accent3" w:themeFillTint="7f"/>
      </w:tcPr>
    </w:tblStylePr>
  </w:style>
  <w:style w:type="table" w:styleId="MediumGrid1-Accent4">
    <w:name w:val="Medium Grid 1 Accent 4"/>
    <w:uiPriority w:val="67"/>
    <w:basedOn w:val="TableNormal"/>
    <w:pPr>
      <w:spacing w:after="0" w:line="240" w:lineRule="auto"/>
    </w:pPr>
    <w:tblPr>
      <w:tblInd w:w="0" w:type="dxa"/>
      <w:tblBorders>
        <w:top w:val="single" w:sz="8" w:space="0" w:color="AC9FBF" w:themeColor="accent4" w:themeTint="bf"/>
        <w:left w:val="single" w:sz="8" w:space="0" w:color="AC9FBF" w:themeColor="accent4" w:themeTint="bf"/>
        <w:bottom w:val="single" w:sz="8" w:space="0" w:color="AC9FBF" w:themeColor="accent4" w:themeTint="bf"/>
        <w:right w:val="single" w:sz="8" w:space="0" w:color="AC9FBF" w:themeColor="accent4" w:themeTint="bf"/>
        <w:insideH w:val="single" w:sz="8" w:space="0" w:color="AC9FBF" w:themeColor="accent4" w:themeTint="bf"/>
        <w:insideV w:val="single" w:sz="8" w:space="0" w:color="AC9FBF" w:themeColor="accent4" w:themeTint="bf"/>
      </w:tblBorders>
      <w:tblCellMar>
        <w:top w:w="0" w:type="dxa"/>
        <w:left w:w="108" w:type="dxa"/>
        <w:bottom w:w="0" w:type="dxa"/>
        <w:right w:w="108" w:type="dxa"/>
      </w:tblCellMar>
      <w:tblStyleColBandSize w:val="1"/>
      <w:tblStyleRowBandSize w:val="1"/>
    </w:tblPr>
    <w:tcPr>
      <w:shd w:val="clear" w:color="auto" w:fill="E8E5EC" w:themeFill="accent4" w:themeFillTint="3f"/>
    </w:tcPr>
    <w:tblStylePr w:type="firstRow">
      <w:rPr>
        <w:b/>
        <w:bCs/>
      </w:rPr>
    </w:tblStylePr>
    <w:tblStylePr w:type="lastRow">
      <w:rPr>
        <w:b/>
        <w:bCs/>
      </w:rPr>
      <w:tblPr/>
      <w:tcPr>
        <w:tcBorders>
          <w:top w:val="single" w:sz="18" w:space="0" w:color="AC9FBF" w:themeColor="accent4" w:themeTint="bf"/>
        </w:tcBorders>
      </w:tcPr>
    </w:tblStylePr>
    <w:tblStylePr w:type="firstCol">
      <w:rPr>
        <w:b/>
        <w:bCs/>
      </w:rPr>
    </w:tblStylePr>
    <w:tblStylePr w:type="lastCol">
      <w:rPr>
        <w:b/>
        <w:bCs/>
      </w:rPr>
    </w:tblStylePr>
    <w:tblStylePr w:type="band1Vert">
      <w:tblPr/>
      <w:tcPr>
        <w:shd w:val="clear" w:color="auto" w:fill="CDC6D7" w:themeFill="accent4" w:themeFillTint="7f"/>
      </w:tcPr>
    </w:tblStylePr>
    <w:tblStylePr w:type="band1Horz">
      <w:tblPr/>
      <w:tcPr>
        <w:shd w:val="clear" w:color="auto" w:fill="CDC6D7" w:themeFill="accent4" w:themeFillTint="7f"/>
      </w:tcPr>
    </w:tblStylePr>
  </w:style>
  <w:style w:type="table" w:styleId="MediumGrid1-Accent5">
    <w:name w:val="Medium Grid 1 Accent 5"/>
    <w:uiPriority w:val="67"/>
    <w:basedOn w:val="TableNormal"/>
    <w:pPr>
      <w:spacing w:after="0" w:line="240" w:lineRule="auto"/>
    </w:pPr>
    <w:tblPr>
      <w:tblInd w:w="0" w:type="dxa"/>
      <w:tblBorders>
        <w:top w:val="single" w:sz="8" w:space="0" w:color="96C5D6" w:themeColor="accent5" w:themeTint="bf"/>
        <w:left w:val="single" w:sz="8" w:space="0" w:color="96C5D6" w:themeColor="accent5" w:themeTint="bf"/>
        <w:bottom w:val="single" w:sz="8" w:space="0" w:color="96C5D6" w:themeColor="accent5" w:themeTint="bf"/>
        <w:right w:val="single" w:sz="8" w:space="0" w:color="96C5D6" w:themeColor="accent5" w:themeTint="bf"/>
        <w:insideH w:val="single" w:sz="8" w:space="0" w:color="96C5D6" w:themeColor="accent5" w:themeTint="bf"/>
        <w:insideV w:val="single" w:sz="8" w:space="0" w:color="96C5D6" w:themeColor="accent5" w:themeTint="bf"/>
      </w:tblBorders>
      <w:tblCellMar>
        <w:top w:w="0" w:type="dxa"/>
        <w:left w:w="108" w:type="dxa"/>
        <w:bottom w:w="0" w:type="dxa"/>
        <w:right w:w="108" w:type="dxa"/>
      </w:tblCellMar>
      <w:tblStyleColBandSize w:val="1"/>
      <w:tblStyleRowBandSize w:val="1"/>
    </w:tblPr>
    <w:tcPr>
      <w:shd w:val="clear" w:color="auto" w:fill="E3EEF3" w:themeFill="accent5" w:themeFillTint="3f"/>
    </w:tcPr>
    <w:tblStylePr w:type="firstRow">
      <w:rPr>
        <w:b/>
        <w:bCs/>
      </w:rPr>
    </w:tblStylePr>
    <w:tblStylePr w:type="lastRow">
      <w:rPr>
        <w:b/>
        <w:bCs/>
      </w:rPr>
      <w:tblPr/>
      <w:tcPr>
        <w:tcBorders>
          <w:top w:val="single" w:sz="18" w:space="0" w:color="96C5D6" w:themeColor="accent5" w:themeTint="bf"/>
        </w:tcBorders>
      </w:tcPr>
    </w:tblStylePr>
    <w:tblStylePr w:type="firstCol">
      <w:rPr>
        <w:b/>
        <w:bCs/>
      </w:rPr>
    </w:tblStylePr>
    <w:tblStylePr w:type="lastCol">
      <w:rPr>
        <w:b/>
        <w:bCs/>
      </w:rPr>
    </w:tblStylePr>
    <w:tblStylePr w:type="band1Vert">
      <w:tblPr/>
      <w:tcPr>
        <w:shd w:val="clear" w:color="auto" w:fill="C2DBE5" w:themeFill="accent5" w:themeFillTint="7f"/>
      </w:tcPr>
    </w:tblStylePr>
    <w:tblStylePr w:type="band1Horz">
      <w:tblPr/>
      <w:tcPr>
        <w:shd w:val="clear" w:color="auto" w:fill="C2DBE5" w:themeFill="accent5" w:themeFillTint="7f"/>
      </w:tcPr>
    </w:tblStylePr>
  </w:style>
  <w:style w:type="table" w:styleId="MediumGrid1-Accent6">
    <w:name w:val="Medium Grid 1 Accent 6"/>
    <w:uiPriority w:val="67"/>
    <w:basedOn w:val="TableNormal"/>
    <w:pPr>
      <w:spacing w:after="0" w:line="240" w:lineRule="auto"/>
    </w:pPr>
    <w:tblPr>
      <w:tblInd w:w="0" w:type="dxa"/>
      <w:tblBorders>
        <w:top w:val="single" w:sz="8" w:space="0" w:color="F9B895" w:themeColor="accent6" w:themeTint="bf"/>
        <w:left w:val="single" w:sz="8" w:space="0" w:color="F9B895" w:themeColor="accent6" w:themeTint="bf"/>
        <w:bottom w:val="single" w:sz="8" w:space="0" w:color="F9B895" w:themeColor="accent6" w:themeTint="bf"/>
        <w:right w:val="single" w:sz="8" w:space="0" w:color="F9B895" w:themeColor="accent6" w:themeTint="bf"/>
        <w:insideH w:val="single" w:sz="8" w:space="0" w:color="F9B895" w:themeColor="accent6" w:themeTint="bf"/>
        <w:insideV w:val="single" w:sz="8" w:space="0" w:color="F9B895" w:themeColor="accent6" w:themeTint="bf"/>
      </w:tblBorders>
      <w:tblCellMar>
        <w:top w:w="0" w:type="dxa"/>
        <w:left w:w="108" w:type="dxa"/>
        <w:bottom w:w="0" w:type="dxa"/>
        <w:right w:w="108" w:type="dxa"/>
      </w:tblCellMar>
      <w:tblStyleColBandSize w:val="1"/>
      <w:tblStyleRowBandSize w:val="1"/>
    </w:tblPr>
    <w:tcPr>
      <w:shd w:val="clear" w:color="auto" w:fill="FDEBE3" w:themeFill="accent6" w:themeFillTint="3f"/>
    </w:tcPr>
    <w:tblStylePr w:type="firstRow">
      <w:rPr>
        <w:b/>
        <w:bCs/>
      </w:rPr>
    </w:tblStylePr>
    <w:tblStylePr w:type="lastRow">
      <w:rPr>
        <w:b/>
        <w:bCs/>
      </w:rPr>
      <w:tblPr/>
      <w:tcPr>
        <w:tcBorders>
          <w:top w:val="single" w:sz="18" w:space="0" w:color="F9B895" w:themeColor="accent6" w:themeTint="bf"/>
        </w:tcBorders>
      </w:tcPr>
    </w:tblStylePr>
    <w:tblStylePr w:type="firstCol">
      <w:rPr>
        <w:b/>
        <w:bCs/>
      </w:rPr>
    </w:tblStylePr>
    <w:tblStylePr w:type="lastCol">
      <w:rPr>
        <w:b/>
        <w:bCs/>
      </w:rPr>
    </w:tblStylePr>
    <w:tblStylePr w:type="band1Vert">
      <w:tblPr/>
      <w:tcPr>
        <w:shd w:val="clear" w:color="auto" w:fill="FBD3C1" w:themeFill="accent6" w:themeFillTint="7f"/>
      </w:tcPr>
    </w:tblStylePr>
    <w:tblStylePr w:type="band1Horz">
      <w:tblPr/>
      <w:tcPr>
        <w:shd w:val="clear" w:color="auto" w:fill="FBD3C1" w:themeFill="accent6" w:themeFillTint="7f"/>
      </w:tcPr>
    </w:tblStylePr>
  </w:style>
  <w:style w:type="table" w:styleId="MediumGrid2">
    <w:name w:val="Medium Grid 2"/>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StyleColBandSize w:val="1"/>
      <w:tblStyleRowBandSize w:val="1"/>
    </w:tblPr>
    <w:tcPr>
      <w:shd w:val="clear" w:color="auto" w:fill="E1E1E1" w:themeFill="text1" w:themeFillTint="3f"/>
    </w:tcPr>
    <w:tblStylePr w:type="firstRow">
      <w:rPr>
        <w:b/>
        <w:bCs/>
        <w:color w:val="000000"/>
      </w:rPr>
      <w:tblPr/>
      <w:tcPr>
        <w:shd w:val="clear" w:color="auto" w:fill="F4F4F4"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7E7E7" w:themeFill="text1" w:themeFillTint="33"/>
      </w:tcPr>
    </w:tblStylePr>
    <w:tblStylePr w:type="band1Vert">
      <w:tblPr/>
      <w:tcPr>
        <w:shd w:val="clear" w:color="auto" w:fill="BDBDBD" w:themeFill="text1" w:themeFillTint="7f"/>
      </w:tcPr>
    </w:tblStylePr>
    <w:tblStylePr w:type="band1Horz">
      <w:tblPr/>
      <w:tcPr>
        <w:tcBorders>
          <w:insideH w:val="single" w:sz="6" w:space="0" w:color="000000" w:themeColor="text1"/>
          <w:insideV w:val="single" w:sz="6" w:space="0" w:color="000000" w:themeColor="text1"/>
        </w:tcBorders>
        <w:shd w:val="clear" w:color="auto" w:fill="BDBDBD" w:themeFill="text1" w:themeFillTint="7f"/>
      </w:tcPr>
    </w:tblStylePr>
    <w:tblStylePr w:type="nwCell">
      <w:tblPr/>
      <w:tcPr>
        <w:shd w:val="clear" w:color="auto" w:fill="FFFFFF" w:themeFill="background1"/>
      </w:tcPr>
    </w:tblStylePr>
  </w:style>
  <w:style w:type="table" w:styleId="MediumGrid2-Accent1">
    <w:name w:val="Medium Grid 2 Accent 1"/>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StyleColBandSize w:val="1"/>
      <w:tblStyleRowBandSize w:val="1"/>
    </w:tblPr>
    <w:tcPr>
      <w:shd w:val="clear" w:color="auto" w:fill="E4E8F1" w:themeFill="accent1" w:themeFillTint="3f"/>
    </w:tcPr>
    <w:tblStylePr w:type="firstRow">
      <w:rPr>
        <w:b/>
        <w:bCs/>
        <w:color w:val="000000"/>
      </w:rPr>
      <w:tblPr/>
      <w:tcPr>
        <w:shd w:val="clear" w:color="auto" w:fill="F5F6FA"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9EDF4" w:themeFill="accent1" w:themeFillTint="33"/>
      </w:tcPr>
    </w:tblStylePr>
    <w:tblStylePr w:type="band1Vert">
      <w:tblPr/>
      <w:tcPr>
        <w:shd w:val="clear" w:color="auto" w:fill="C2CDE1" w:themeFill="accent1" w:themeFillTint="7f"/>
      </w:tcPr>
    </w:tblStylePr>
    <w:tblStylePr w:type="band1Horz">
      <w:tblPr/>
      <w:tcPr>
        <w:tcBorders>
          <w:insideH w:val="single" w:sz="6" w:space="0" w:color="4F81BD" w:themeColor="accent1"/>
          <w:insideV w:val="single" w:sz="6" w:space="0" w:color="4F81BD" w:themeColor="accent1"/>
        </w:tcBorders>
        <w:shd w:val="clear" w:color="auto" w:fill="C2CDE1" w:themeFill="accent1" w:themeFillTint="7f"/>
      </w:tcPr>
    </w:tblStylePr>
    <w:tblStylePr w:type="nwCell">
      <w:tblPr/>
      <w:tcPr>
        <w:shd w:val="clear" w:color="auto" w:fill="FFFFFF" w:themeFill="background1"/>
      </w:tcPr>
    </w:tblStylePr>
  </w:style>
  <w:style w:type="table" w:styleId="MediumGrid2-Accent2">
    <w:name w:val="Medium Grid 2 Accent 2"/>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StyleColBandSize w:val="1"/>
      <w:tblStyleRowBandSize w:val="1"/>
    </w:tblPr>
    <w:tcPr>
      <w:shd w:val="clear" w:color="auto" w:fill="F1E4E3" w:themeFill="accent2" w:themeFillTint="3f"/>
    </w:tcPr>
    <w:tblStylePr w:type="firstRow">
      <w:rPr>
        <w:b/>
        <w:bCs/>
        <w:color w:val="000000"/>
      </w:rPr>
      <w:tblPr/>
      <w:tcPr>
        <w:shd w:val="clear" w:color="auto" w:fill="FAF5F5"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4E9E9" w:themeFill="accent2" w:themeFillTint="33"/>
      </w:tcPr>
    </w:tblStylePr>
    <w:tblStylePr w:type="band1Vert">
      <w:tblPr/>
      <w:tcPr>
        <w:shd w:val="clear" w:color="auto" w:fill="E2C3C2" w:themeFill="accent2" w:themeFillTint="7f"/>
      </w:tcPr>
    </w:tblStylePr>
    <w:tblStylePr w:type="band1Horz">
      <w:tblPr/>
      <w:tcPr>
        <w:tcBorders>
          <w:insideH w:val="single" w:sz="6" w:space="0" w:color="C0504D" w:themeColor="accent2"/>
          <w:insideV w:val="single" w:sz="6" w:space="0" w:color="C0504D" w:themeColor="accent2"/>
        </w:tcBorders>
        <w:shd w:val="clear" w:color="auto" w:fill="E2C3C2" w:themeFill="accent2" w:themeFillTint="7f"/>
      </w:tcPr>
    </w:tblStylePr>
    <w:tblStylePr w:type="nwCell">
      <w:tblPr/>
      <w:tcPr>
        <w:shd w:val="clear" w:color="auto" w:fill="FFFFFF" w:themeFill="background1"/>
      </w:tcPr>
    </w:tblStylePr>
  </w:style>
  <w:style w:type="table" w:styleId="MediumGrid2-Accent3">
    <w:name w:val="Medium Grid 2 Accent 3"/>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StyleColBandSize w:val="1"/>
      <w:tblStyleRowBandSize w:val="1"/>
    </w:tblPr>
    <w:tcPr>
      <w:shd w:val="clear" w:color="auto" w:fill="EBF0E4" w:themeFill="accent3" w:themeFillTint="3f"/>
    </w:tcPr>
    <w:tblStylePr w:type="firstRow">
      <w:rPr>
        <w:b/>
        <w:bCs/>
        <w:color w:val="000000"/>
      </w:rPr>
      <w:tblPr/>
      <w:tcPr>
        <w:shd w:val="clear" w:color="auto" w:fill="F7F9F5"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FF3EA" w:themeFill="accent3" w:themeFillTint="33"/>
      </w:tcPr>
    </w:tblStylePr>
    <w:tblStylePr w:type="band1Vert">
      <w:tblPr/>
      <w:tcPr>
        <w:shd w:val="clear" w:color="auto" w:fill="D5E0C4" w:themeFill="accent3" w:themeFillTint="7f"/>
      </w:tcPr>
    </w:tblStylePr>
    <w:tblStylePr w:type="band1Horz">
      <w:tblPr/>
      <w:tcPr>
        <w:tcBorders>
          <w:insideH w:val="single" w:sz="6" w:space="0" w:color="9BBB59" w:themeColor="accent3"/>
          <w:insideV w:val="single" w:sz="6" w:space="0" w:color="9BBB59" w:themeColor="accent3"/>
        </w:tcBorders>
        <w:shd w:val="clear" w:color="auto" w:fill="D5E0C4" w:themeFill="accent3" w:themeFillTint="7f"/>
      </w:tcPr>
    </w:tblStylePr>
    <w:tblStylePr w:type="nwCell">
      <w:tblPr/>
      <w:tcPr>
        <w:shd w:val="clear" w:color="auto" w:fill="FFFFFF" w:themeFill="background1"/>
      </w:tcPr>
    </w:tblStylePr>
  </w:style>
  <w:style w:type="table" w:styleId="MediumGrid2-Accent4">
    <w:name w:val="Medium Grid 2 Accent 4"/>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StyleColBandSize w:val="1"/>
      <w:tblStyleRowBandSize w:val="1"/>
    </w:tblPr>
    <w:tcPr>
      <w:shd w:val="clear" w:color="auto" w:fill="E8E5EC" w:themeFill="accent4" w:themeFillTint="3f"/>
    </w:tcPr>
    <w:tblStylePr w:type="firstRow">
      <w:rPr>
        <w:b/>
        <w:bCs/>
        <w:color w:val="000000"/>
      </w:rPr>
      <w:tblPr/>
      <w:tcPr>
        <w:shd w:val="clear" w:color="auto" w:fill="F6F5F8"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DEAF0" w:themeFill="accent4" w:themeFillTint="33"/>
      </w:tcPr>
    </w:tblStylePr>
    <w:tblStylePr w:type="band1Vert">
      <w:tblPr/>
      <w:tcPr>
        <w:shd w:val="clear" w:color="auto" w:fill="CDC6D7" w:themeFill="accent4" w:themeFillTint="7f"/>
      </w:tcPr>
    </w:tblStylePr>
    <w:tblStylePr w:type="band1Horz">
      <w:tblPr/>
      <w:tcPr>
        <w:tcBorders>
          <w:insideH w:val="single" w:sz="6" w:space="0" w:color="8064A2" w:themeColor="accent4"/>
          <w:insideV w:val="single" w:sz="6" w:space="0" w:color="8064A2" w:themeColor="accent4"/>
        </w:tcBorders>
        <w:shd w:val="clear" w:color="auto" w:fill="CDC6D7" w:themeFill="accent4" w:themeFillTint="7f"/>
      </w:tcPr>
    </w:tblStylePr>
    <w:tblStylePr w:type="nwCell">
      <w:tblPr/>
      <w:tcPr>
        <w:shd w:val="clear" w:color="auto" w:fill="FFFFFF" w:themeFill="background1"/>
      </w:tcPr>
    </w:tblStylePr>
  </w:style>
  <w:style w:type="table" w:styleId="MediumGrid2-Accent5">
    <w:name w:val="Medium Grid 2 Accent 5"/>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StyleColBandSize w:val="1"/>
      <w:tblStyleRowBandSize w:val="1"/>
    </w:tblPr>
    <w:tcPr>
      <w:shd w:val="clear" w:color="auto" w:fill="E3EEF3" w:themeFill="accent5" w:themeFillTint="3f"/>
    </w:tcPr>
    <w:tblStylePr w:type="firstRow">
      <w:rPr>
        <w:b/>
        <w:bCs/>
        <w:color w:val="000000"/>
      </w:rPr>
      <w:tblPr/>
      <w:tcPr>
        <w:shd w:val="clear" w:color="auto" w:fill="F5F8FA"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9F1F5" w:themeFill="accent5" w:themeFillTint="33"/>
      </w:tcPr>
    </w:tblStylePr>
    <w:tblStylePr w:type="band1Vert">
      <w:tblPr/>
      <w:tcPr>
        <w:shd w:val="clear" w:color="auto" w:fill="C2DBE5" w:themeFill="accent5" w:themeFillTint="7f"/>
      </w:tcPr>
    </w:tblStylePr>
    <w:tblStylePr w:type="band1Horz">
      <w:tblPr/>
      <w:tcPr>
        <w:tcBorders>
          <w:insideH w:val="single" w:sz="6" w:space="0" w:color="4BACC6" w:themeColor="accent5"/>
          <w:insideV w:val="single" w:sz="6" w:space="0" w:color="4BACC6" w:themeColor="accent5"/>
        </w:tcBorders>
        <w:shd w:val="clear" w:color="auto" w:fill="C2DBE5" w:themeFill="accent5" w:themeFillTint="7f"/>
      </w:tcPr>
    </w:tblStylePr>
    <w:tblStylePr w:type="nwCell">
      <w:tblPr/>
      <w:tcPr>
        <w:shd w:val="clear" w:color="auto" w:fill="FFFFFF" w:themeFill="background1"/>
      </w:tcPr>
    </w:tblStylePr>
  </w:style>
  <w:style w:type="table" w:styleId="MediumGrid2-Accent6">
    <w:name w:val="Medium Grid 2 Accent 6"/>
    <w:uiPriority w:val="68"/>
    <w:basedOn w:val="TableNormal"/>
    <w:pPr>
      <w:spacing w:after="0" w:line="240" w:lineRule="auto"/>
    </w:pPr>
    <w:rPr>
      <w:rFonts w:asciiTheme="majorHAnsi" w:eastAsiaTheme="majorHAnsi" w:hAnsiTheme="majorHAnsi" w:cstheme="majorEastAsia"/>
      <w:color w:val="000000"/>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StyleColBandSize w:val="1"/>
      <w:tblStyleRowBandSize w:val="1"/>
    </w:tblPr>
    <w:tcPr>
      <w:shd w:val="clear" w:color="auto" w:fill="FDEBE3" w:themeFill="accent6" w:themeFillTint="3f"/>
    </w:tcPr>
    <w:tblStylePr w:type="firstRow">
      <w:rPr>
        <w:b/>
        <w:bCs/>
        <w:color w:val="000000"/>
      </w:rPr>
      <w:tblPr/>
      <w:tcPr>
        <w:shd w:val="clear" w:color="auto" w:fill="FEF7F4"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FE9" w:themeFill="accent6" w:themeFillTint="33"/>
      </w:tcPr>
    </w:tblStylePr>
    <w:tblStylePr w:type="band1Vert">
      <w:tblPr/>
      <w:tcPr>
        <w:shd w:val="clear" w:color="auto" w:fill="FBD3C1" w:themeFill="accent6" w:themeFillTint="7f"/>
      </w:tcPr>
    </w:tblStylePr>
    <w:tblStylePr w:type="band1Horz">
      <w:tblPr/>
      <w:tcPr>
        <w:tcBorders>
          <w:insideH w:val="single" w:sz="6" w:space="0" w:color="F79646" w:themeColor="accent6"/>
          <w:insideV w:val="single" w:sz="6" w:space="0" w:color="F79646" w:themeColor="accent6"/>
        </w:tcBorders>
        <w:shd w:val="clear" w:color="auto" w:fill="FBD3C1" w:themeFill="accent6" w:themeFillTint="7f"/>
      </w:tcPr>
    </w:tblStylePr>
    <w:tblStylePr w:type="nwCell">
      <w:tblPr/>
      <w:tcPr>
        <w:shd w:val="clear" w:color="auto" w:fill="FFFFFF" w:themeFill="background1"/>
      </w:tcPr>
    </w:tblStylePr>
  </w:style>
  <w:style w:type="table" w:styleId="MediumGrid3">
    <w:name w:val="Medium Grid 3"/>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1E1E1"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BDBD"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BDBD" w:themeFill="text1" w:themeFillTint="7f"/>
      </w:tcPr>
    </w:tblStylePr>
  </w:style>
  <w:style w:type="table" w:styleId="MediumGrid3-Accent1">
    <w:name w:val="Medium Grid 3 Accent 1"/>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4E8F1"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CD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CDE1" w:themeFill="accent1" w:themeFillTint="7f"/>
      </w:tcPr>
    </w:tblStylePr>
  </w:style>
  <w:style w:type="table" w:styleId="MediumGrid3-Accent2">
    <w:name w:val="Medium Grid 3 Accent 2"/>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F1E4E3"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C3C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C3C2" w:themeFill="accent2" w:themeFillTint="7f"/>
      </w:tcPr>
    </w:tblStylePr>
  </w:style>
  <w:style w:type="table" w:styleId="MediumGrid3-Accent3">
    <w:name w:val="Medium Grid 3 Accent 3"/>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BF0E4"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E0C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E0C4" w:themeFill="accent3" w:themeFillTint="7f"/>
      </w:tcPr>
    </w:tblStylePr>
  </w:style>
  <w:style w:type="table" w:styleId="MediumGrid3-Accent4">
    <w:name w:val="Medium Grid 3 Accent 4"/>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8E5EC"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6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6D7" w:themeFill="accent4" w:themeFillTint="7f"/>
      </w:tcPr>
    </w:tblStylePr>
  </w:style>
  <w:style w:type="table" w:styleId="MediumGrid3-Accent5">
    <w:name w:val="Medium Grid 3 Accent 5"/>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3EEF3"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B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BE5" w:themeFill="accent5" w:themeFillTint="7f"/>
      </w:tcPr>
    </w:tblStylePr>
  </w:style>
  <w:style w:type="table" w:styleId="MediumGrid3-Accent6">
    <w:name w:val="Medium Grid 3 Accent 6"/>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FDEBE3"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3C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3C1" w:themeFill="accent6" w:themeFillTint="7f"/>
      </w:tcPr>
    </w:tblStylePr>
  </w:style>
  <w:style w:type="table" w:styleId="DarkList">
    <w:name w:val="Dark List"/>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40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609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6092" w:themeFill="accent1" w:themeFillShade="bf"/>
      </w:tcPr>
    </w:tblStylePr>
    <w:tblStylePr w:type="band1Vert">
      <w:tblPr/>
      <w:tcPr>
        <w:tcBorders>
          <w:top w:val="nil"/>
          <w:left w:val="nil"/>
          <w:bottom w:val="nil"/>
          <w:right w:val="nil"/>
          <w:insideH w:val="nil"/>
          <w:insideV w:val="nil"/>
        </w:tcBorders>
        <w:shd w:val="clear" w:color="auto" w:fill="376092" w:themeFill="accent1" w:themeFillShade="bf"/>
      </w:tcPr>
    </w:tblStylePr>
    <w:tblStylePr w:type="band1Horz">
      <w:tblPr/>
      <w:tcPr>
        <w:tcBorders>
          <w:top w:val="nil"/>
          <w:left w:val="nil"/>
          <w:bottom w:val="nil"/>
          <w:right w:val="nil"/>
          <w:insideH w:val="nil"/>
          <w:insideV w:val="nil"/>
        </w:tcBorders>
        <w:shd w:val="clear" w:color="auto" w:fill="376092" w:themeFill="accent1" w:themeFillShade="bf"/>
      </w:tcPr>
    </w:tblStylePr>
  </w:style>
  <w:style w:type="table" w:styleId="DarkList-Accent2">
    <w:name w:val="Dark List Accent 2"/>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25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5373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53735" w:themeFill="accent2" w:themeFillShade="bf"/>
      </w:tcPr>
    </w:tblStylePr>
    <w:tblStylePr w:type="band1Vert">
      <w:tblPr/>
      <w:tcPr>
        <w:tcBorders>
          <w:top w:val="nil"/>
          <w:left w:val="nil"/>
          <w:bottom w:val="nil"/>
          <w:right w:val="nil"/>
          <w:insideH w:val="nil"/>
          <w:insideV w:val="nil"/>
        </w:tcBorders>
        <w:shd w:val="clear" w:color="auto" w:fill="953735" w:themeFill="accent2" w:themeFillShade="bf"/>
      </w:tcPr>
    </w:tblStylePr>
    <w:tblStylePr w:type="band1Horz">
      <w:tblPr/>
      <w:tcPr>
        <w:tcBorders>
          <w:top w:val="nil"/>
          <w:left w:val="nil"/>
          <w:bottom w:val="nil"/>
          <w:right w:val="nil"/>
          <w:insideH w:val="nil"/>
          <w:insideV w:val="nil"/>
        </w:tcBorders>
        <w:shd w:val="clear" w:color="auto" w:fill="953735" w:themeFill="accent2" w:themeFillShade="bf"/>
      </w:tcPr>
    </w:tblStylePr>
  </w:style>
  <w:style w:type="table" w:styleId="DarkList-Accent3">
    <w:name w:val="Dark List Accent 3"/>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62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3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33C" w:themeFill="accent3" w:themeFillShade="bf"/>
      </w:tcPr>
    </w:tblStylePr>
    <w:tblStylePr w:type="band1Vert">
      <w:tblPr/>
      <w:tcPr>
        <w:tcBorders>
          <w:top w:val="nil"/>
          <w:left w:val="nil"/>
          <w:bottom w:val="nil"/>
          <w:right w:val="nil"/>
          <w:insideH w:val="nil"/>
          <w:insideV w:val="nil"/>
        </w:tcBorders>
        <w:shd w:val="clear" w:color="auto" w:fill="76933C" w:themeFill="accent3" w:themeFillShade="bf"/>
      </w:tcPr>
    </w:tblStylePr>
    <w:tblStylePr w:type="band1Horz">
      <w:tblPr/>
      <w:tcPr>
        <w:tcBorders>
          <w:top w:val="nil"/>
          <w:left w:val="nil"/>
          <w:bottom w:val="nil"/>
          <w:right w:val="nil"/>
          <w:insideH w:val="nil"/>
          <w:insideV w:val="nil"/>
        </w:tcBorders>
        <w:shd w:val="clear" w:color="auto" w:fill="76933C" w:themeFill="accent3" w:themeFillShade="bf"/>
      </w:tcPr>
    </w:tblStylePr>
  </w:style>
  <w:style w:type="table" w:styleId="DarkList-Accent4">
    <w:name w:val="Dark List Accent 4"/>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31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04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04A7B" w:themeFill="accent4" w:themeFillShade="bf"/>
      </w:tcPr>
    </w:tblStylePr>
    <w:tblStylePr w:type="band1Vert">
      <w:tblPr/>
      <w:tcPr>
        <w:tcBorders>
          <w:top w:val="nil"/>
          <w:left w:val="nil"/>
          <w:bottom w:val="nil"/>
          <w:right w:val="nil"/>
          <w:insideH w:val="nil"/>
          <w:insideV w:val="nil"/>
        </w:tcBorders>
        <w:shd w:val="clear" w:color="auto" w:fill="604A7B" w:themeFill="accent4" w:themeFillShade="bf"/>
      </w:tcPr>
    </w:tblStylePr>
    <w:tblStylePr w:type="band1Horz">
      <w:tblPr/>
      <w:tcPr>
        <w:tcBorders>
          <w:top w:val="nil"/>
          <w:left w:val="nil"/>
          <w:bottom w:val="nil"/>
          <w:right w:val="nil"/>
          <w:insideH w:val="nil"/>
          <w:insideV w:val="nil"/>
        </w:tcBorders>
        <w:shd w:val="clear" w:color="auto" w:fill="604A7B" w:themeFill="accent4" w:themeFillShade="bf"/>
      </w:tcPr>
    </w:tblStylePr>
  </w:style>
  <w:style w:type="table" w:styleId="DarkList-Accent5">
    <w:name w:val="Dark List Accent 5"/>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5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59B" w:themeFill="accent5" w:themeFillShade="bf"/>
      </w:tcPr>
    </w:tblStylePr>
    <w:tblStylePr w:type="band1Vert">
      <w:tblPr/>
      <w:tcPr>
        <w:tcBorders>
          <w:top w:val="nil"/>
          <w:left w:val="nil"/>
          <w:bottom w:val="nil"/>
          <w:right w:val="nil"/>
          <w:insideH w:val="nil"/>
          <w:insideV w:val="nil"/>
        </w:tcBorders>
        <w:shd w:val="clear" w:color="auto" w:fill="31859B" w:themeFill="accent5" w:themeFillShade="bf"/>
      </w:tcPr>
    </w:tblStylePr>
    <w:tblStylePr w:type="band1Horz">
      <w:tblPr/>
      <w:tcPr>
        <w:tcBorders>
          <w:top w:val="nil"/>
          <w:left w:val="nil"/>
          <w:bottom w:val="nil"/>
          <w:right w:val="nil"/>
          <w:insideH w:val="nil"/>
          <w:insideV w:val="nil"/>
        </w:tcBorders>
        <w:shd w:val="clear" w:color="auto" w:fill="31859B" w:themeFill="accent5" w:themeFillShade="bf"/>
      </w:tcPr>
    </w:tblStylePr>
  </w:style>
  <w:style w:type="table" w:styleId="DarkList-Accent6">
    <w:name w:val="Dark List Accent 6"/>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80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4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46C0A" w:themeFill="accent6" w:themeFillShade="bf"/>
      </w:tcPr>
    </w:tblStylePr>
    <w:tblStylePr w:type="band1Vert">
      <w:tblPr/>
      <w:tcPr>
        <w:tcBorders>
          <w:top w:val="nil"/>
          <w:left w:val="nil"/>
          <w:bottom w:val="nil"/>
          <w:right w:val="nil"/>
          <w:insideH w:val="nil"/>
          <w:insideV w:val="nil"/>
        </w:tcBorders>
        <w:shd w:val="clear" w:color="auto" w:fill="E46C0A" w:themeFill="accent6" w:themeFillShade="bf"/>
      </w:tcPr>
    </w:tblStylePr>
    <w:tblStylePr w:type="band1Horz">
      <w:tblPr/>
      <w:tcPr>
        <w:tcBorders>
          <w:top w:val="nil"/>
          <w:left w:val="nil"/>
          <w:bottom w:val="nil"/>
          <w:right w:val="nil"/>
          <w:insideH w:val="nil"/>
          <w:insideV w:val="nil"/>
        </w:tcBorders>
        <w:shd w:val="clear" w:color="auto" w:fill="E46C0A" w:themeFill="accent6" w:themeFillShade="bf"/>
      </w:tcPr>
    </w:tblStylePr>
  </w:style>
  <w:style w:type="table" w:styleId="ColorfulShading">
    <w:name w:val="Colorful Shading"/>
    <w:uiPriority w:val="71"/>
    <w:basedOn w:val="TableNormal"/>
    <w:pPr>
      <w:spacing w:after="0" w:line="240" w:lineRule="auto"/>
    </w:pPr>
    <w:rPr>
      <w:color w:val="000000"/>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4F4F4"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CCCCCC" w:themeFill="text1" w:themeFillTint="66"/>
      </w:tcPr>
    </w:tblStylePr>
    <w:tblStylePr w:type="band1Horz">
      <w:tblPr/>
      <w:tcPr>
        <w:shd w:val="clear" w:color="auto" w:fill="BDBDBD" w:themeFill="text1" w:themeFillTint="7f"/>
      </w:tcPr>
    </w:tblStylePr>
    <w:tblStylePr w:type="neCell">
      <w:rPr>
        <w:color w:val="000000"/>
      </w:rPr>
    </w:tblStylePr>
    <w:tblStylePr w:type="nwCell">
      <w:rPr>
        <w:color w:val="000000"/>
      </w:rPr>
    </w:tblStylePr>
  </w:style>
  <w:style w:type="table" w:styleId="ColorfulShading-Accent1">
    <w:name w:val="Colorful Shading Accent 1"/>
    <w:uiPriority w:val="71"/>
    <w:basedOn w:val="TableNormal"/>
    <w:pPr>
      <w:spacing w:after="0" w:line="240" w:lineRule="auto"/>
    </w:pPr>
    <w:rPr>
      <w:color w:val="000000"/>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5F6FA"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D75" w:themeFill="accent1" w:themeFillShade="99"/>
      </w:tcPr>
    </w:tblStylePr>
    <w:tblStylePr w:type="firstCol">
      <w:rPr>
        <w:color w:val="FFFFFF"/>
      </w:rPr>
      <w:tblPr/>
      <w:tcPr>
        <w:tcBorders>
          <w:top w:val="nil"/>
          <w:left w:val="nil"/>
          <w:bottom w:val="nil"/>
          <w:right w:val="nil"/>
          <w:insideH w:val="single" w:sz="4" w:space="0" w:color="2C4D75" w:themeColor="accent1" w:themeShade="99"/>
          <w:insideV w:val="nil"/>
        </w:tcBorders>
        <w:shd w:val="clear" w:color="auto" w:fill="2C4D75" w:themeFill="accent1" w:themeFillShade="99"/>
      </w:tcPr>
    </w:tblStylePr>
    <w:tblStylePr w:type="lastCol">
      <w:rPr>
        <w:color w:val="FFFFFF"/>
      </w:rPr>
      <w:tblPr/>
      <w:tcPr>
        <w:tcBorders>
          <w:top w:val="nil"/>
          <w:left w:val="nil"/>
          <w:bottom w:val="nil"/>
          <w:right w:val="nil"/>
          <w:insideH w:val="nil"/>
          <w:insideV w:val="nil"/>
        </w:tcBorders>
        <w:shd w:val="clear" w:color="auto" w:fill="2C4D75" w:themeFill="accent1" w:themeFillShade="99"/>
      </w:tcPr>
    </w:tblStylePr>
    <w:tblStylePr w:type="band1Vert">
      <w:tblPr/>
      <w:tcPr>
        <w:shd w:val="clear" w:color="auto" w:fill="D0D8E8" w:themeFill="accent1" w:themeFillTint="66"/>
      </w:tcPr>
    </w:tblStylePr>
    <w:tblStylePr w:type="band1Horz">
      <w:tblPr/>
      <w:tcPr>
        <w:shd w:val="clear" w:color="auto" w:fill="C2CDE1" w:themeFill="accent1" w:themeFillTint="7f"/>
      </w:tcPr>
    </w:tblStylePr>
    <w:tblStylePr w:type="neCell">
      <w:rPr>
        <w:color w:val="000000"/>
      </w:rPr>
    </w:tblStylePr>
    <w:tblStylePr w:type="nwCell">
      <w:rPr>
        <w:color w:val="000000"/>
      </w:rPr>
    </w:tblStylePr>
  </w:style>
  <w:style w:type="table" w:styleId="ColorfulShading-Accent2">
    <w:name w:val="Colorful Shading Accent 2"/>
    <w:uiPriority w:val="71"/>
    <w:basedOn w:val="TableNormal"/>
    <w:pPr>
      <w:spacing w:after="0" w:line="240" w:lineRule="auto"/>
    </w:pPr>
    <w:rPr>
      <w:color w:val="000000"/>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AF5F5"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8D0D0" w:themeFill="accent2" w:themeFillTint="66"/>
      </w:tcPr>
    </w:tblStylePr>
    <w:tblStylePr w:type="band1Horz">
      <w:tblPr/>
      <w:tcPr>
        <w:shd w:val="clear" w:color="auto" w:fill="E2C3C2" w:themeFill="accent2" w:themeFillTint="7f"/>
      </w:tcPr>
    </w:tblStylePr>
    <w:tblStylePr w:type="neCell">
      <w:rPr>
        <w:color w:val="000000"/>
      </w:rPr>
    </w:tblStylePr>
    <w:tblStylePr w:type="nwCell">
      <w:rPr>
        <w:color w:val="000000"/>
      </w:rPr>
    </w:tblStylePr>
  </w:style>
  <w:style w:type="table" w:styleId="ColorfulShading-Accent3">
    <w:name w:val="Colorful Shading Accent 3"/>
    <w:uiPriority w:val="71"/>
    <w:basedOn w:val="TableNormal"/>
    <w:pPr>
      <w:spacing w:after="0" w:line="240" w:lineRule="auto"/>
    </w:pPr>
    <w:rPr>
      <w:color w:val="000000"/>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7F9F5"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F7530" w:themeFill="accent3" w:themeFillShade="99"/>
      </w:tcPr>
    </w:tblStylePr>
    <w:tblStylePr w:type="firstCol">
      <w:rPr>
        <w:color w:val="FFFFFF"/>
      </w:rPr>
      <w:tblPr/>
      <w:tcPr>
        <w:tcBorders>
          <w:top w:val="nil"/>
          <w:left w:val="nil"/>
          <w:bottom w:val="nil"/>
          <w:right w:val="nil"/>
          <w:insideH w:val="single" w:sz="4" w:space="0" w:color="5F7530" w:themeColor="accent3" w:themeShade="99"/>
          <w:insideV w:val="nil"/>
        </w:tcBorders>
        <w:shd w:val="clear" w:color="auto" w:fill="5F7530" w:themeFill="accent3" w:themeFillShade="99"/>
      </w:tcPr>
    </w:tblStylePr>
    <w:tblStylePr w:type="lastCol">
      <w:rPr>
        <w:color w:val="FFFFFF"/>
      </w:rPr>
      <w:tblPr/>
      <w:tcPr>
        <w:tcBorders>
          <w:top w:val="nil"/>
          <w:left w:val="nil"/>
          <w:bottom w:val="nil"/>
          <w:right w:val="nil"/>
          <w:insideH w:val="nil"/>
          <w:insideV w:val="nil"/>
        </w:tcBorders>
        <w:shd w:val="clear" w:color="auto" w:fill="5F7530" w:themeFill="accent3" w:themeFillShade="99"/>
      </w:tcPr>
    </w:tblStylePr>
    <w:tblStylePr w:type="band1Vert">
      <w:tblPr/>
      <w:tcPr>
        <w:shd w:val="clear" w:color="auto" w:fill="DEE7D1" w:themeFill="accent3" w:themeFillTint="66"/>
      </w:tcPr>
    </w:tblStylePr>
    <w:tblStylePr w:type="band1Horz">
      <w:tblPr/>
      <w:tcPr>
        <w:shd w:val="clear" w:color="auto" w:fill="D5E0C4" w:themeFill="accent3" w:themeFillTint="7f"/>
      </w:tcPr>
    </w:tblStylePr>
  </w:style>
  <w:style w:type="table" w:styleId="ColorfulShading-Accent4">
    <w:name w:val="Colorful Shading Accent 4"/>
    <w:uiPriority w:val="71"/>
    <w:basedOn w:val="TableNormal"/>
    <w:pPr>
      <w:spacing w:after="0" w:line="240" w:lineRule="auto"/>
    </w:pPr>
    <w:rPr>
      <w:color w:val="000000"/>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6F5F8"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D3B62" w:themeFill="accent4" w:themeFillShade="99"/>
      </w:tcPr>
    </w:tblStylePr>
    <w:tblStylePr w:type="firstCol">
      <w:rPr>
        <w:color w:val="FFFFFF"/>
      </w:rPr>
      <w:tblPr/>
      <w:tcPr>
        <w:tcBorders>
          <w:top w:val="nil"/>
          <w:left w:val="nil"/>
          <w:bottom w:val="nil"/>
          <w:right w:val="nil"/>
          <w:insideH w:val="single" w:sz="4" w:space="0" w:color="4D3B62" w:themeColor="accent4" w:themeShade="99"/>
          <w:insideV w:val="nil"/>
        </w:tcBorders>
        <w:shd w:val="clear" w:color="auto" w:fill="4D3B62" w:themeFill="accent4" w:themeFillShade="99"/>
      </w:tcPr>
    </w:tblStylePr>
    <w:tblStylePr w:type="lastCol">
      <w:rPr>
        <w:color w:val="FFFFFF"/>
      </w:rPr>
      <w:tblPr/>
      <w:tcPr>
        <w:tcBorders>
          <w:top w:val="nil"/>
          <w:left w:val="nil"/>
          <w:bottom w:val="nil"/>
          <w:right w:val="nil"/>
          <w:insideH w:val="nil"/>
          <w:insideV w:val="nil"/>
        </w:tcBorders>
        <w:shd w:val="clear" w:color="auto" w:fill="4D3B62" w:themeFill="accent4" w:themeFillShade="99"/>
      </w:tcPr>
    </w:tblStylePr>
    <w:tblStylePr w:type="band1Vert">
      <w:tblPr/>
      <w:tcPr>
        <w:shd w:val="clear" w:color="auto" w:fill="D8D3E0" w:themeFill="accent4" w:themeFillTint="66"/>
      </w:tcPr>
    </w:tblStylePr>
    <w:tblStylePr w:type="band1Horz">
      <w:tblPr/>
      <w:tcPr>
        <w:shd w:val="clear" w:color="auto" w:fill="CDC6D7" w:themeFill="accent4" w:themeFillTint="7f"/>
      </w:tcPr>
    </w:tblStylePr>
    <w:tblStylePr w:type="neCell">
      <w:rPr>
        <w:color w:val="000000"/>
      </w:rPr>
    </w:tblStylePr>
    <w:tblStylePr w:type="nwCell">
      <w:rPr>
        <w:color w:val="000000"/>
      </w:rPr>
    </w:tblStylePr>
  </w:style>
  <w:style w:type="table" w:styleId="ColorfulShading-Accent5">
    <w:name w:val="Colorful Shading Accent 5"/>
    <w:uiPriority w:val="71"/>
    <w:basedOn w:val="TableNormal"/>
    <w:pPr>
      <w:spacing w:after="0" w:line="240" w:lineRule="auto"/>
    </w:pPr>
    <w:rPr>
      <w:color w:val="000000"/>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5F8FA"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D0E3EA" w:themeFill="accent5" w:themeFillTint="66"/>
      </w:tcPr>
    </w:tblStylePr>
    <w:tblStylePr w:type="band1Horz">
      <w:tblPr/>
      <w:tcPr>
        <w:shd w:val="clear" w:color="auto" w:fill="C2DBE5" w:themeFill="accent5" w:themeFillTint="7f"/>
      </w:tcPr>
    </w:tblStylePr>
    <w:tblStylePr w:type="neCell">
      <w:rPr>
        <w:color w:val="000000"/>
      </w:rPr>
    </w:tblStylePr>
    <w:tblStylePr w:type="nwCell">
      <w:rPr>
        <w:color w:val="000000"/>
      </w:rPr>
    </w:tblStylePr>
  </w:style>
  <w:style w:type="table" w:styleId="ColorfulShading-Accent6">
    <w:name w:val="Colorful Shading Accent 6"/>
    <w:uiPriority w:val="71"/>
    <w:basedOn w:val="TableNormal"/>
    <w:pPr>
      <w:spacing w:after="0" w:line="240" w:lineRule="auto"/>
    </w:pPr>
    <w:rPr>
      <w:color w:val="000000"/>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EF7F4"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708" w:themeFill="accent6" w:themeFillShade="99"/>
      </w:tcPr>
    </w:tblStylePr>
    <w:tblStylePr w:type="firstCol">
      <w:rPr>
        <w:color w:val="FFFFFF"/>
      </w:rPr>
      <w:tblPr/>
      <w:tcPr>
        <w:tcBorders>
          <w:top w:val="nil"/>
          <w:left w:val="nil"/>
          <w:bottom w:val="nil"/>
          <w:right w:val="nil"/>
          <w:insideH w:val="single" w:sz="4" w:space="0" w:color="B65708" w:themeColor="accent6" w:themeShade="99"/>
          <w:insideV w:val="nil"/>
        </w:tcBorders>
        <w:shd w:val="clear" w:color="auto" w:fill="B65708" w:themeFill="accent6" w:themeFillShade="99"/>
      </w:tcPr>
    </w:tblStylePr>
    <w:tblStylePr w:type="lastCol">
      <w:rPr>
        <w:color w:val="FFFFFF"/>
      </w:rPr>
      <w:tblPr/>
      <w:tcPr>
        <w:tcBorders>
          <w:top w:val="nil"/>
          <w:left w:val="nil"/>
          <w:bottom w:val="nil"/>
          <w:right w:val="nil"/>
          <w:insideH w:val="nil"/>
          <w:insideV w:val="nil"/>
        </w:tcBorders>
        <w:shd w:val="clear" w:color="auto" w:fill="B65708" w:themeFill="accent6" w:themeFillShade="99"/>
      </w:tcPr>
    </w:tblStylePr>
    <w:tblStylePr w:type="band1Vert">
      <w:tblPr/>
      <w:tcPr>
        <w:shd w:val="clear" w:color="auto" w:fill="FCDDCF" w:themeFill="accent6" w:themeFillTint="66"/>
      </w:tcPr>
    </w:tblStylePr>
    <w:tblStylePr w:type="band1Horz">
      <w:tblPr/>
      <w:tcPr>
        <w:shd w:val="clear" w:color="auto" w:fill="FBD3C1" w:themeFill="accent6" w:themeFillTint="7f"/>
      </w:tcPr>
    </w:tblStylePr>
    <w:tblStylePr w:type="neCell">
      <w:rPr>
        <w:color w:val="000000"/>
      </w:rPr>
    </w:tblStylePr>
    <w:tblStylePr w:type="nwCell">
      <w:rPr>
        <w:color w:val="000000"/>
      </w:rPr>
    </w:tblStylePr>
  </w:style>
  <w:style w:type="table" w:styleId="ColorfulList">
    <w:name w:val="Colorful List"/>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4F4F4" w:themeFill="text1" w:themeFillTint="19"/>
    </w:tcPr>
    <w:tblStylePr w:type="firstRow">
      <w:rPr>
        <w:b/>
        <w:bCs/>
        <w:color w:val="FFFFFF"/>
      </w:rPr>
      <w:tblPr/>
      <w:tcPr>
        <w:tcBorders>
          <w:bottom w:val="single" w:sz="12" w:space="0" w:color="FFFFFF" w:themeColor="background1"/>
        </w:tcBorders>
        <w:shd w:val="clear" w:color="auto" w:fill="9F3B38" w:themeFill="accent2" w:themeFillShade="cc"/>
      </w:tcPr>
    </w:tblStylePr>
    <w:tblStylePr w:type="lastRow">
      <w:rPr>
        <w:b/>
        <w:bCs/>
        <w:color w:val="9F3B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1E1" w:themeFill="text1" w:themeFillTint="3f"/>
      </w:tcPr>
    </w:tblStylePr>
    <w:tblStylePr w:type="band1Horz">
      <w:tblPr/>
      <w:tcPr>
        <w:shd w:val="clear" w:color="auto" w:fill="E7E7E7" w:themeFill="text1" w:themeFillTint="33"/>
      </w:tcPr>
    </w:tblStylePr>
  </w:style>
  <w:style w:type="table" w:styleId="ColorfulList-Accent1">
    <w:name w:val="Colorful List Accent 1"/>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5F6FA" w:themeFill="accent1" w:themeFillTint="19"/>
    </w:tcPr>
    <w:tblStylePr w:type="firstRow">
      <w:rPr>
        <w:b/>
        <w:bCs/>
        <w:color w:val="FFFFFF"/>
      </w:rPr>
      <w:tblPr/>
      <w:tcPr>
        <w:tcBorders>
          <w:bottom w:val="single" w:sz="12" w:space="0" w:color="FFFFFF" w:themeColor="background1"/>
        </w:tcBorders>
        <w:shd w:val="clear" w:color="auto" w:fill="9F3B38" w:themeFill="accent2" w:themeFillShade="cc"/>
      </w:tcPr>
    </w:tblStylePr>
    <w:tblStylePr w:type="lastRow">
      <w:rPr>
        <w:b/>
        <w:bCs/>
        <w:color w:val="9F3B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8F1" w:themeFill="accent1" w:themeFillTint="3f"/>
      </w:tcPr>
    </w:tblStylePr>
    <w:tblStylePr w:type="band1Horz">
      <w:tblPr/>
      <w:tcPr>
        <w:shd w:val="clear" w:color="auto" w:fill="E9EDF4" w:themeFill="accent1" w:themeFillTint="33"/>
      </w:tcPr>
    </w:tblStylePr>
  </w:style>
  <w:style w:type="table" w:styleId="ColorfulList-Accent2">
    <w:name w:val="Colorful List Accent 2"/>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AF5F5" w:themeFill="accent2" w:themeFillTint="19"/>
    </w:tcPr>
    <w:tblStylePr w:type="firstRow">
      <w:rPr>
        <w:b/>
        <w:bCs/>
        <w:color w:val="FFFFFF"/>
      </w:rPr>
      <w:tblPr/>
      <w:tcPr>
        <w:tcBorders>
          <w:bottom w:val="single" w:sz="12" w:space="0" w:color="FFFFFF" w:themeColor="background1"/>
        </w:tcBorders>
        <w:shd w:val="clear" w:color="auto" w:fill="9F3B38" w:themeFill="accent2" w:themeFillShade="cc"/>
      </w:tcPr>
    </w:tblStylePr>
    <w:tblStylePr w:type="lastRow">
      <w:rPr>
        <w:b/>
        <w:bCs/>
        <w:color w:val="9F3B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4E3" w:themeFill="accent2" w:themeFillTint="3f"/>
      </w:tcPr>
    </w:tblStylePr>
    <w:tblStylePr w:type="band1Horz">
      <w:tblPr/>
      <w:tcPr>
        <w:shd w:val="clear" w:color="auto" w:fill="F4E9E9" w:themeFill="accent2" w:themeFillTint="33"/>
      </w:tcPr>
    </w:tblStylePr>
  </w:style>
  <w:style w:type="table" w:styleId="ColorfulList-Accent3">
    <w:name w:val="Colorful List Accent 3"/>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7F9F5" w:themeFill="accent3" w:themeFillTint="19"/>
    </w:tcPr>
    <w:tblStylePr w:type="firstRow">
      <w:rPr>
        <w:b/>
        <w:bCs/>
        <w:color w:val="FFFFFF"/>
      </w:rPr>
      <w:tblPr/>
      <w:tcPr>
        <w:tcBorders>
          <w:bottom w:val="single" w:sz="12" w:space="0" w:color="FFFFFF" w:themeColor="background1"/>
        </w:tcBorders>
        <w:shd w:val="clear" w:color="auto" w:fill="664F83" w:themeFill="accent4" w:themeFillShade="cc"/>
      </w:tcPr>
    </w:tblStylePr>
    <w:tblStylePr w:type="lastRow">
      <w:rPr>
        <w:b/>
        <w:bCs/>
        <w:color w:val="664F83"/>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E4" w:themeFill="accent3" w:themeFillTint="3f"/>
      </w:tcPr>
    </w:tblStylePr>
    <w:tblStylePr w:type="band1Horz">
      <w:tblPr/>
      <w:tcPr>
        <w:shd w:val="clear" w:color="auto" w:fill="EFF3EA" w:themeFill="accent3" w:themeFillTint="33"/>
      </w:tcPr>
    </w:tblStylePr>
  </w:style>
  <w:style w:type="table" w:styleId="ColorfulList-Accent4">
    <w:name w:val="Colorful List Accent 4"/>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6F5F8" w:themeFill="accent4" w:themeFillTint="19"/>
    </w:tcPr>
    <w:tblStylePr w:type="firstRow">
      <w:rPr>
        <w:b/>
        <w:bCs/>
        <w:color w:val="FFFFFF"/>
      </w:rPr>
      <w:tblPr/>
      <w:tcPr>
        <w:tcBorders>
          <w:bottom w:val="single" w:sz="12" w:space="0" w:color="FFFFFF" w:themeColor="background1"/>
        </w:tcBorders>
        <w:shd w:val="clear" w:color="auto" w:fill="7E9D40" w:themeFill="accent3" w:themeFillShade="cc"/>
      </w:tcPr>
    </w:tblStylePr>
    <w:tblStylePr w:type="lastRow">
      <w:rPr>
        <w:b/>
        <w:bCs/>
        <w:color w:val="7E9D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5EC" w:themeFill="accent4" w:themeFillTint="3f"/>
      </w:tcPr>
    </w:tblStylePr>
    <w:tblStylePr w:type="band1Horz">
      <w:tblPr/>
      <w:tcPr>
        <w:shd w:val="clear" w:color="auto" w:fill="EDEAF0" w:themeFill="accent4" w:themeFillTint="33"/>
      </w:tcPr>
    </w:tblStylePr>
  </w:style>
  <w:style w:type="table" w:styleId="ColorfulList-Accent5">
    <w:name w:val="Colorful List Accent 5"/>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5F8FA" w:themeFill="accent5" w:themeFillTint="19"/>
    </w:tcPr>
    <w:tblStylePr w:type="firstRow">
      <w:rPr>
        <w:b/>
        <w:bCs/>
        <w:color w:val="FFFFFF"/>
      </w:rPr>
      <w:tblPr/>
      <w:tcPr>
        <w:tcBorders>
          <w:bottom w:val="single" w:sz="12" w:space="0" w:color="FFFFFF" w:themeColor="background1"/>
        </w:tcBorders>
        <w:shd w:val="clear" w:color="auto" w:fill="F3740B" w:themeFill="accent6" w:themeFillShade="cc"/>
      </w:tcPr>
    </w:tblStylePr>
    <w:tblStylePr w:type="lastRow">
      <w:rPr>
        <w:b/>
        <w:bCs/>
        <w:color w:val="F3740B"/>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EF3" w:themeFill="accent5" w:themeFillTint="3f"/>
      </w:tcPr>
    </w:tblStylePr>
    <w:tblStylePr w:type="band1Horz">
      <w:tblPr/>
      <w:tcPr>
        <w:shd w:val="clear" w:color="auto" w:fill="E9F1F5" w:themeFill="accent5" w:themeFillTint="33"/>
      </w:tcPr>
    </w:tblStylePr>
  </w:style>
  <w:style w:type="table" w:styleId="ColorfulList-Accent6">
    <w:name w:val="Colorful List Accent 6"/>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EF7F4" w:themeFill="accent6" w:themeFillTint="19"/>
    </w:tcPr>
    <w:tblStylePr w:type="firstRow">
      <w:rPr>
        <w:b/>
        <w:bCs/>
        <w:color w:val="FFFFFF"/>
      </w:rPr>
      <w:tblPr/>
      <w:tcPr>
        <w:tcBorders>
          <w:bottom w:val="single" w:sz="12" w:space="0" w:color="FFFFFF" w:themeColor="background1"/>
        </w:tcBorders>
        <w:shd w:val="clear" w:color="auto" w:fill="358EA6" w:themeFill="accent5" w:themeFillShade="cc"/>
      </w:tcPr>
    </w:tblStylePr>
    <w:tblStylePr w:type="lastRow">
      <w:rPr>
        <w:b/>
        <w:bCs/>
        <w:color w:val="358EA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E3" w:themeFill="accent6" w:themeFillTint="3f"/>
      </w:tcPr>
    </w:tblStylePr>
    <w:tblStylePr w:type="band1Horz">
      <w:tblPr/>
      <w:tcPr>
        <w:shd w:val="clear" w:color="auto" w:fill="FDEFE9" w:themeFill="accent6" w:themeFillTint="33"/>
      </w:tcPr>
    </w:tblStylePr>
  </w:style>
  <w:style w:type="table" w:styleId="ColorfulGrid">
    <w:name w:val="Colorful Grid"/>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7E7E7" w:themeFill="text1" w:themeFillTint="33"/>
    </w:tcPr>
    <w:tblStylePr w:type="firstRow">
      <w:rPr>
        <w:b/>
        <w:bCs/>
      </w:rPr>
      <w:tblPr/>
      <w:tcPr>
        <w:shd w:val="clear" w:color="auto" w:fill="CCCCCC" w:themeFill="text1" w:themeFillTint="66"/>
      </w:tcPr>
    </w:tblStylePr>
    <w:tblStylePr w:type="lastRow">
      <w:rPr>
        <w:b/>
        <w:bCs/>
        <w:color w:val="000000"/>
      </w:rPr>
      <w:tblPr/>
      <w:tcPr>
        <w:shd w:val="clear" w:color="auto" w:fill="CCCCCC"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BDBDBD" w:themeFill="text1" w:themeFillTint="7f"/>
      </w:tcPr>
    </w:tblStylePr>
    <w:tblStylePr w:type="band1Horz">
      <w:tblPr/>
      <w:tcPr>
        <w:shd w:val="clear" w:color="auto" w:fill="BDBDBD" w:themeFill="text1" w:themeFillTint="7f"/>
      </w:tcPr>
    </w:tblStylePr>
  </w:style>
  <w:style w:type="table" w:styleId="ColorfulGrid-Accent1">
    <w:name w:val="Colorful Grid Accent 1"/>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9EDF4" w:themeFill="accent1" w:themeFillTint="33"/>
    </w:tcPr>
    <w:tblStylePr w:type="firstRow">
      <w:rPr>
        <w:b/>
        <w:bCs/>
      </w:rPr>
      <w:tblPr/>
      <w:tcPr>
        <w:shd w:val="clear" w:color="auto" w:fill="D0D8E8" w:themeFill="accent1" w:themeFillTint="66"/>
      </w:tcPr>
    </w:tblStylePr>
    <w:tblStylePr w:type="lastRow">
      <w:rPr>
        <w:b/>
        <w:bCs/>
        <w:color w:val="000000"/>
      </w:rPr>
      <w:tblPr/>
      <w:tcPr>
        <w:shd w:val="clear" w:color="auto" w:fill="D0D8E8" w:themeFill="accent1" w:themeFillTint="66"/>
      </w:tcPr>
    </w:tblStylePr>
    <w:tblStylePr w:type="firstCol">
      <w:rPr>
        <w:color w:val="FFFFFF"/>
      </w:rPr>
      <w:tblPr/>
      <w:tcPr>
        <w:shd w:val="clear" w:color="auto" w:fill="376092" w:themeFill="accent1" w:themeFillShade="bf"/>
      </w:tcPr>
    </w:tblStylePr>
    <w:tblStylePr w:type="lastCol">
      <w:rPr>
        <w:color w:val="FFFFFF"/>
      </w:rPr>
      <w:tblPr/>
      <w:tcPr>
        <w:shd w:val="clear" w:color="auto" w:fill="376092" w:themeFill="accent1" w:themeFillShade="bf"/>
      </w:tcPr>
    </w:tblStylePr>
    <w:tblStylePr w:type="band1Vert">
      <w:tblPr/>
      <w:tcPr>
        <w:shd w:val="clear" w:color="auto" w:fill="C2CDE1" w:themeFill="accent1" w:themeFillTint="7f"/>
      </w:tcPr>
    </w:tblStylePr>
    <w:tblStylePr w:type="band1Horz">
      <w:tblPr/>
      <w:tcPr>
        <w:shd w:val="clear" w:color="auto" w:fill="C2CDE1" w:themeFill="accent1" w:themeFillTint="7f"/>
      </w:tcPr>
    </w:tblStylePr>
  </w:style>
  <w:style w:type="table" w:styleId="ColorfulGrid-Accent2">
    <w:name w:val="Colorful Grid Accent 2"/>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F4E9E9" w:themeFill="accent2" w:themeFillTint="33"/>
    </w:tcPr>
    <w:tblStylePr w:type="firstRow">
      <w:rPr>
        <w:b/>
        <w:bCs/>
      </w:rPr>
      <w:tblPr/>
      <w:tcPr>
        <w:shd w:val="clear" w:color="auto" w:fill="E8D0D0" w:themeFill="accent2" w:themeFillTint="66"/>
      </w:tcPr>
    </w:tblStylePr>
    <w:tblStylePr w:type="lastRow">
      <w:rPr>
        <w:b/>
        <w:bCs/>
        <w:color w:val="000000"/>
      </w:rPr>
      <w:tblPr/>
      <w:tcPr>
        <w:shd w:val="clear" w:color="auto" w:fill="E8D0D0" w:themeFill="accent2" w:themeFillTint="66"/>
      </w:tcPr>
    </w:tblStylePr>
    <w:tblStylePr w:type="firstCol">
      <w:rPr>
        <w:color w:val="FFFFFF"/>
      </w:rPr>
      <w:tblPr/>
      <w:tcPr>
        <w:shd w:val="clear" w:color="auto" w:fill="953735" w:themeFill="accent2" w:themeFillShade="bf"/>
      </w:tcPr>
    </w:tblStylePr>
    <w:tblStylePr w:type="lastCol">
      <w:rPr>
        <w:color w:val="FFFFFF"/>
      </w:rPr>
      <w:tblPr/>
      <w:tcPr>
        <w:shd w:val="clear" w:color="auto" w:fill="953735" w:themeFill="accent2" w:themeFillShade="bf"/>
      </w:tcPr>
    </w:tblStylePr>
    <w:tblStylePr w:type="band1Vert">
      <w:tblPr/>
      <w:tcPr>
        <w:shd w:val="clear" w:color="auto" w:fill="E2C3C2" w:themeFill="accent2" w:themeFillTint="7f"/>
      </w:tcPr>
    </w:tblStylePr>
    <w:tblStylePr w:type="band1Horz">
      <w:tblPr/>
      <w:tcPr>
        <w:shd w:val="clear" w:color="auto" w:fill="E2C3C2" w:themeFill="accent2" w:themeFillTint="7f"/>
      </w:tcPr>
    </w:tblStylePr>
  </w:style>
  <w:style w:type="table" w:styleId="ColorfulGrid-Accent3">
    <w:name w:val="Colorful Grid Accent 3"/>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FF3EA" w:themeFill="accent3" w:themeFillTint="33"/>
    </w:tcPr>
    <w:tblStylePr w:type="firstRow">
      <w:rPr>
        <w:b/>
        <w:bCs/>
      </w:rPr>
      <w:tblPr/>
      <w:tcPr>
        <w:shd w:val="clear" w:color="auto" w:fill="DEE7D1" w:themeFill="accent3" w:themeFillTint="66"/>
      </w:tcPr>
    </w:tblStylePr>
    <w:tblStylePr w:type="lastRow">
      <w:rPr>
        <w:b/>
        <w:bCs/>
        <w:color w:val="000000"/>
      </w:rPr>
      <w:tblPr/>
      <w:tcPr>
        <w:shd w:val="clear" w:color="auto" w:fill="DEE7D1" w:themeFill="accent3" w:themeFillTint="66"/>
      </w:tcPr>
    </w:tblStylePr>
    <w:tblStylePr w:type="firstCol">
      <w:rPr>
        <w:color w:val="FFFFFF"/>
      </w:rPr>
      <w:tblPr/>
      <w:tcPr>
        <w:shd w:val="clear" w:color="auto" w:fill="76933C" w:themeFill="accent3" w:themeFillShade="bf"/>
      </w:tcPr>
    </w:tblStylePr>
    <w:tblStylePr w:type="lastCol">
      <w:rPr>
        <w:color w:val="FFFFFF"/>
      </w:rPr>
      <w:tblPr/>
      <w:tcPr>
        <w:shd w:val="clear" w:color="auto" w:fill="76933C" w:themeFill="accent3" w:themeFillShade="bf"/>
      </w:tcPr>
    </w:tblStylePr>
    <w:tblStylePr w:type="band1Vert">
      <w:tblPr/>
      <w:tcPr>
        <w:shd w:val="clear" w:color="auto" w:fill="D5E0C4" w:themeFill="accent3" w:themeFillTint="7f"/>
      </w:tcPr>
    </w:tblStylePr>
    <w:tblStylePr w:type="band1Horz">
      <w:tblPr/>
      <w:tcPr>
        <w:shd w:val="clear" w:color="auto" w:fill="D5E0C4" w:themeFill="accent3" w:themeFillTint="7f"/>
      </w:tcPr>
    </w:tblStylePr>
  </w:style>
  <w:style w:type="table" w:styleId="ColorfulGrid-Accent4">
    <w:name w:val="Colorful Grid Accent 4"/>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DEAF0" w:themeFill="accent4" w:themeFillTint="33"/>
    </w:tcPr>
    <w:tblStylePr w:type="firstRow">
      <w:rPr>
        <w:b/>
        <w:bCs/>
      </w:rPr>
      <w:tblPr/>
      <w:tcPr>
        <w:shd w:val="clear" w:color="auto" w:fill="D8D3E0" w:themeFill="accent4" w:themeFillTint="66"/>
      </w:tcPr>
    </w:tblStylePr>
    <w:tblStylePr w:type="lastRow">
      <w:rPr>
        <w:b/>
        <w:bCs/>
        <w:color w:val="000000"/>
      </w:rPr>
      <w:tblPr/>
      <w:tcPr>
        <w:shd w:val="clear" w:color="auto" w:fill="D8D3E0" w:themeFill="accent4" w:themeFillTint="66"/>
      </w:tcPr>
    </w:tblStylePr>
    <w:tblStylePr w:type="firstCol">
      <w:rPr>
        <w:color w:val="FFFFFF"/>
      </w:rPr>
      <w:tblPr/>
      <w:tcPr>
        <w:shd w:val="clear" w:color="auto" w:fill="604A7B" w:themeFill="accent4" w:themeFillShade="bf"/>
      </w:tcPr>
    </w:tblStylePr>
    <w:tblStylePr w:type="lastCol">
      <w:rPr>
        <w:color w:val="FFFFFF"/>
      </w:rPr>
      <w:tblPr/>
      <w:tcPr>
        <w:shd w:val="clear" w:color="auto" w:fill="604A7B" w:themeFill="accent4" w:themeFillShade="bf"/>
      </w:tcPr>
    </w:tblStylePr>
    <w:tblStylePr w:type="band1Vert">
      <w:tblPr/>
      <w:tcPr>
        <w:shd w:val="clear" w:color="auto" w:fill="CDC6D7" w:themeFill="accent4" w:themeFillTint="7f"/>
      </w:tcPr>
    </w:tblStylePr>
    <w:tblStylePr w:type="band1Horz">
      <w:tblPr/>
      <w:tcPr>
        <w:shd w:val="clear" w:color="auto" w:fill="CDC6D7" w:themeFill="accent4" w:themeFillTint="7f"/>
      </w:tcPr>
    </w:tblStylePr>
  </w:style>
  <w:style w:type="table" w:styleId="ColorfulGrid-Accent5">
    <w:name w:val="Colorful Grid Accent 5"/>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9F1F5" w:themeFill="accent5" w:themeFillTint="33"/>
    </w:tcPr>
    <w:tblStylePr w:type="firstRow">
      <w:rPr>
        <w:b/>
        <w:bCs/>
      </w:rPr>
      <w:tblPr/>
      <w:tcPr>
        <w:shd w:val="clear" w:color="auto" w:fill="D0E3EA" w:themeFill="accent5" w:themeFillTint="66"/>
      </w:tcPr>
    </w:tblStylePr>
    <w:tblStylePr w:type="lastRow">
      <w:rPr>
        <w:b/>
        <w:bCs/>
        <w:color w:val="000000"/>
      </w:rPr>
      <w:tblPr/>
      <w:tcPr>
        <w:shd w:val="clear" w:color="auto" w:fill="D0E3EA" w:themeFill="accent5" w:themeFillTint="66"/>
      </w:tcPr>
    </w:tblStylePr>
    <w:tblStylePr w:type="firstCol">
      <w:rPr>
        <w:color w:val="FFFFFF"/>
      </w:rPr>
      <w:tblPr/>
      <w:tcPr>
        <w:shd w:val="clear" w:color="auto" w:fill="31859B" w:themeFill="accent5" w:themeFillShade="bf"/>
      </w:tcPr>
    </w:tblStylePr>
    <w:tblStylePr w:type="lastCol">
      <w:rPr>
        <w:color w:val="FFFFFF"/>
      </w:rPr>
      <w:tblPr/>
      <w:tcPr>
        <w:shd w:val="clear" w:color="auto" w:fill="31859B" w:themeFill="accent5" w:themeFillShade="bf"/>
      </w:tcPr>
    </w:tblStylePr>
    <w:tblStylePr w:type="band1Vert">
      <w:tblPr/>
      <w:tcPr>
        <w:shd w:val="clear" w:color="auto" w:fill="C2DBE5" w:themeFill="accent5" w:themeFillTint="7f"/>
      </w:tcPr>
    </w:tblStylePr>
    <w:tblStylePr w:type="band1Horz">
      <w:tblPr/>
      <w:tcPr>
        <w:shd w:val="clear" w:color="auto" w:fill="C2DBE5" w:themeFill="accent5" w:themeFillTint="7f"/>
      </w:tcPr>
    </w:tblStylePr>
  </w:style>
  <w:style w:type="table" w:styleId="ColorfulGrid-Accent6">
    <w:name w:val="Colorful Grid Accent 6"/>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FDEFE9" w:themeFill="accent6" w:themeFillTint="33"/>
    </w:tcPr>
    <w:tblStylePr w:type="firstRow">
      <w:rPr>
        <w:b/>
        <w:bCs/>
      </w:rPr>
      <w:tblPr/>
      <w:tcPr>
        <w:shd w:val="clear" w:color="auto" w:fill="FCDDCF" w:themeFill="accent6" w:themeFillTint="66"/>
      </w:tcPr>
    </w:tblStylePr>
    <w:tblStylePr w:type="lastRow">
      <w:rPr>
        <w:b/>
        <w:bCs/>
        <w:color w:val="000000"/>
      </w:rPr>
      <w:tblPr/>
      <w:tcPr>
        <w:shd w:val="clear" w:color="auto" w:fill="FCDDCF" w:themeFill="accent6" w:themeFillTint="66"/>
      </w:tcPr>
    </w:tblStylePr>
    <w:tblStylePr w:type="firstCol">
      <w:rPr>
        <w:color w:val="FFFFFF"/>
      </w:rPr>
      <w:tblPr/>
      <w:tcPr>
        <w:shd w:val="clear" w:color="auto" w:fill="E46C0A" w:themeFill="accent6" w:themeFillShade="bf"/>
      </w:tcPr>
    </w:tblStylePr>
    <w:tblStylePr w:type="lastCol">
      <w:rPr>
        <w:color w:val="FFFFFF"/>
      </w:rPr>
      <w:tblPr/>
      <w:tcPr>
        <w:shd w:val="clear" w:color="auto" w:fill="E46C0A" w:themeFill="accent6" w:themeFillShade="bf"/>
      </w:tcPr>
    </w:tblStylePr>
    <w:tblStylePr w:type="band1Vert">
      <w:tblPr/>
      <w:tcPr>
        <w:shd w:val="clear" w:color="auto" w:fill="FBD3C1" w:themeFill="accent6" w:themeFillTint="7f"/>
      </w:tcPr>
    </w:tblStylePr>
    <w:tblStylePr w:type="band1Horz">
      <w:tblPr/>
      <w:tcPr>
        <w:shd w:val="clear" w:color="auto" w:fill="FBD3C1"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말 없는 언어와 창조의 질서</dc:title>
  <dc:subject>동물의 정보전달, 아름다움의 수학, 고대 서사와 성경의 역사성에 관한 창조신학적 고찰</dc:subject>
  <dc:creator>python-docx</dc:creator>
  <cp:keywords>창조신학, 정보, 동물 의사소통, 아름다움, 유전암호, 오디세이아, 성경 역사성</cp:keywords>
  <dc:description>generated by python-docx</dc:description>
  <cp:lastModifiedBy>rmuel</cp:lastModifiedBy>
  <cp:revision>1</cp:revision>
  <dcterms:created xsi:type="dcterms:W3CDTF">2013-12-23T23:15:00Z</dcterms:created>
  <dcterms:modified xsi:type="dcterms:W3CDTF">2026-09-08T02:51:23Z</dcterms:modified>
  <cp:version>1300.0100.01</cp:version>
</cp:coreProperties>
</file>